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59256" w14:textId="3E986F57" w:rsidR="004A2BD0" w:rsidRPr="00FE2493" w:rsidRDefault="009C1430" w:rsidP="00E916CC">
      <w:pPr>
        <w:pStyle w:val="TitleoftheArticle"/>
        <w:rPr>
          <w:bCs/>
          <w:sz w:val="28"/>
          <w:szCs w:val="52"/>
        </w:rPr>
      </w:pPr>
      <w:r>
        <w:rPr>
          <w:bCs/>
          <w:sz w:val="28"/>
          <w:szCs w:val="52"/>
        </w:rPr>
        <w:t>Peran Savoring sebagai Moderator antara Peer Social Support terhadap Social Well-being Remaja</w:t>
      </w:r>
    </w:p>
    <w:p w14:paraId="781E5475" w14:textId="77777777" w:rsidR="00E916CC" w:rsidRPr="00FE2493" w:rsidRDefault="00E916CC" w:rsidP="00E916CC">
      <w:pPr>
        <w:spacing w:after="0" w:line="240" w:lineRule="auto"/>
        <w:jc w:val="center"/>
        <w:rPr>
          <w:rFonts w:ascii="Candara" w:hAnsi="Candara"/>
          <w:i/>
          <w:iCs/>
          <w:sz w:val="24"/>
          <w:szCs w:val="24"/>
        </w:rPr>
      </w:pPr>
    </w:p>
    <w:p w14:paraId="16C761B1" w14:textId="6E2B0118" w:rsidR="009C1430" w:rsidRPr="008D1D7E" w:rsidRDefault="008D1D7E" w:rsidP="009C1430">
      <w:pPr>
        <w:pStyle w:val="Author"/>
        <w:rPr>
          <w:i/>
          <w:iCs/>
          <w:sz w:val="28"/>
          <w:szCs w:val="28"/>
        </w:rPr>
      </w:pPr>
      <w:r w:rsidRPr="008D1D7E">
        <w:rPr>
          <w:i/>
          <w:iCs/>
          <w:sz w:val="28"/>
          <w:szCs w:val="28"/>
        </w:rPr>
        <w:t>The Role of Savoring as a Moderator between Peer Social Support and Adolescent Social Well-being</w:t>
      </w:r>
    </w:p>
    <w:tbl>
      <w:tblPr>
        <w:tblStyle w:val="TableGrid"/>
        <w:tblW w:w="5000" w:type="pct"/>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3337"/>
        <w:gridCol w:w="319"/>
        <w:gridCol w:w="3998"/>
        <w:gridCol w:w="2834"/>
      </w:tblGrid>
      <w:tr w:rsidR="009A079B" w:rsidRPr="00FE2493" w14:paraId="31E50C5B" w14:textId="77777777" w:rsidTr="009A079B">
        <w:tc>
          <w:tcPr>
            <w:tcW w:w="1591" w:type="pct"/>
            <w:tcBorders>
              <w:top w:val="thinThickSmallGap" w:sz="12" w:space="0" w:color="auto"/>
              <w:bottom w:val="single" w:sz="8" w:space="0" w:color="auto"/>
            </w:tcBorders>
            <w:vAlign w:val="center"/>
          </w:tcPr>
          <w:p w14:paraId="144A8685" w14:textId="378EEA4C" w:rsidR="00E23128" w:rsidRPr="00FE2493" w:rsidRDefault="00E23128" w:rsidP="009A079B">
            <w:pPr>
              <w:pStyle w:val="Abstract"/>
              <w:jc w:val="left"/>
              <w:rPr>
                <w:b/>
                <w:bCs/>
                <w:sz w:val="16"/>
                <w:szCs w:val="16"/>
              </w:rPr>
            </w:pPr>
            <w:r w:rsidRPr="00FE2493">
              <w:rPr>
                <w:b/>
                <w:bCs/>
                <w:sz w:val="16"/>
                <w:szCs w:val="16"/>
              </w:rPr>
              <w:t>Artikel Info</w:t>
            </w:r>
          </w:p>
        </w:tc>
        <w:tc>
          <w:tcPr>
            <w:tcW w:w="152" w:type="pct"/>
            <w:tcBorders>
              <w:top w:val="thinThickSmallGap" w:sz="12" w:space="0" w:color="auto"/>
              <w:bottom w:val="nil"/>
            </w:tcBorders>
          </w:tcPr>
          <w:p w14:paraId="0A176B25" w14:textId="77777777" w:rsidR="00E23128" w:rsidRPr="00FE2493" w:rsidRDefault="00E23128" w:rsidP="009A079B">
            <w:pPr>
              <w:pStyle w:val="Abstract"/>
              <w:jc w:val="center"/>
              <w:rPr>
                <w:b/>
                <w:bCs/>
                <w:sz w:val="16"/>
                <w:szCs w:val="16"/>
              </w:rPr>
            </w:pPr>
          </w:p>
        </w:tc>
        <w:tc>
          <w:tcPr>
            <w:tcW w:w="3257" w:type="pct"/>
            <w:gridSpan w:val="2"/>
            <w:tcBorders>
              <w:top w:val="thinThickSmallGap" w:sz="12" w:space="0" w:color="auto"/>
              <w:bottom w:val="single" w:sz="8" w:space="0" w:color="auto"/>
            </w:tcBorders>
          </w:tcPr>
          <w:p w14:paraId="3F762137" w14:textId="06DC6C35" w:rsidR="00E23128" w:rsidRPr="00FE2493" w:rsidRDefault="00E23128" w:rsidP="009A079B">
            <w:pPr>
              <w:pStyle w:val="Abstract"/>
              <w:jc w:val="center"/>
              <w:rPr>
                <w:b/>
                <w:bCs/>
                <w:sz w:val="16"/>
                <w:szCs w:val="16"/>
                <w:lang w:val="id-ID"/>
              </w:rPr>
            </w:pPr>
            <w:r w:rsidRPr="00FE2493">
              <w:rPr>
                <w:b/>
                <w:bCs/>
                <w:sz w:val="16"/>
                <w:szCs w:val="16"/>
              </w:rPr>
              <w:t>ABSTRA</w:t>
            </w:r>
            <w:r w:rsidR="009A079B" w:rsidRPr="00FE2493">
              <w:rPr>
                <w:b/>
                <w:bCs/>
                <w:sz w:val="16"/>
                <w:szCs w:val="16"/>
                <w:lang w:val="id-ID"/>
              </w:rPr>
              <w:t>CT</w:t>
            </w:r>
          </w:p>
        </w:tc>
      </w:tr>
      <w:tr w:rsidR="009A079B" w:rsidRPr="00FE2493" w14:paraId="4DFBBB72" w14:textId="77777777" w:rsidTr="009A079B">
        <w:trPr>
          <w:trHeight w:val="1393"/>
        </w:trPr>
        <w:tc>
          <w:tcPr>
            <w:tcW w:w="1591" w:type="pct"/>
            <w:tcBorders>
              <w:top w:val="single" w:sz="8" w:space="0" w:color="auto"/>
              <w:bottom w:val="single" w:sz="8" w:space="0" w:color="auto"/>
            </w:tcBorders>
            <w:vAlign w:val="center"/>
          </w:tcPr>
          <w:p w14:paraId="4906E03A" w14:textId="2493FA80" w:rsidR="009A079B" w:rsidRPr="00FE2493" w:rsidRDefault="009A079B" w:rsidP="009A079B">
            <w:pPr>
              <w:pStyle w:val="Abstract"/>
              <w:rPr>
                <w:b/>
                <w:bCs/>
                <w:sz w:val="16"/>
                <w:szCs w:val="16"/>
              </w:rPr>
            </w:pPr>
            <w:r w:rsidRPr="00FE2493">
              <w:rPr>
                <w:b/>
                <w:bCs/>
                <w:sz w:val="16"/>
                <w:szCs w:val="16"/>
              </w:rPr>
              <w:t>Riwayat Artikel:</w:t>
            </w:r>
          </w:p>
          <w:p w14:paraId="62616ACD" w14:textId="77777777" w:rsidR="009A079B" w:rsidRPr="00FE2493" w:rsidRDefault="009A079B" w:rsidP="009A079B">
            <w:pPr>
              <w:pStyle w:val="Abstract"/>
              <w:rPr>
                <w:sz w:val="16"/>
                <w:szCs w:val="16"/>
              </w:rPr>
            </w:pPr>
            <w:r w:rsidRPr="00FE2493">
              <w:rPr>
                <w:sz w:val="16"/>
                <w:szCs w:val="16"/>
              </w:rPr>
              <w:t>Penyerahan dd/mm/yyyy</w:t>
            </w:r>
          </w:p>
          <w:p w14:paraId="1C6EEB51" w14:textId="77777777" w:rsidR="009A079B" w:rsidRPr="00FE2493" w:rsidRDefault="009A079B" w:rsidP="009A079B">
            <w:pPr>
              <w:pStyle w:val="Abstract"/>
              <w:rPr>
                <w:sz w:val="16"/>
                <w:szCs w:val="16"/>
                <w:lang w:val="es-ES"/>
              </w:rPr>
            </w:pPr>
            <w:r w:rsidRPr="00FE2493">
              <w:rPr>
                <w:sz w:val="16"/>
                <w:szCs w:val="16"/>
                <w:lang w:val="es-ES"/>
              </w:rPr>
              <w:t>Revisi dd/mm/yyyy</w:t>
            </w:r>
          </w:p>
          <w:p w14:paraId="66A587CD" w14:textId="77777777" w:rsidR="009A079B" w:rsidRPr="00FE2493" w:rsidRDefault="009A079B" w:rsidP="009A079B">
            <w:pPr>
              <w:pStyle w:val="Abstract"/>
              <w:rPr>
                <w:sz w:val="16"/>
                <w:szCs w:val="16"/>
                <w:lang w:val="es-ES"/>
              </w:rPr>
            </w:pPr>
            <w:r w:rsidRPr="00FE2493">
              <w:rPr>
                <w:sz w:val="16"/>
                <w:szCs w:val="16"/>
                <w:lang w:val="es-ES"/>
              </w:rPr>
              <w:t>Diterima dd/mm/yyyy</w:t>
            </w:r>
          </w:p>
          <w:p w14:paraId="3B17BC93" w14:textId="7757A6E6" w:rsidR="009A079B" w:rsidRPr="00FE2493" w:rsidRDefault="009A079B" w:rsidP="009A079B">
            <w:pPr>
              <w:pStyle w:val="Abstract"/>
              <w:rPr>
                <w:sz w:val="16"/>
                <w:szCs w:val="16"/>
                <w:lang w:val="es-ES"/>
              </w:rPr>
            </w:pPr>
          </w:p>
        </w:tc>
        <w:tc>
          <w:tcPr>
            <w:tcW w:w="152" w:type="pct"/>
            <w:tcBorders>
              <w:top w:val="nil"/>
            </w:tcBorders>
          </w:tcPr>
          <w:p w14:paraId="18AA321D" w14:textId="77777777" w:rsidR="009A079B" w:rsidRPr="00FE2493" w:rsidRDefault="009A079B" w:rsidP="009A079B">
            <w:pPr>
              <w:pStyle w:val="Abstract"/>
              <w:rPr>
                <w:sz w:val="16"/>
                <w:szCs w:val="16"/>
                <w:lang w:val="es-ES"/>
              </w:rPr>
            </w:pPr>
          </w:p>
        </w:tc>
        <w:tc>
          <w:tcPr>
            <w:tcW w:w="3257" w:type="pct"/>
            <w:gridSpan w:val="2"/>
            <w:vMerge w:val="restart"/>
            <w:tcBorders>
              <w:top w:val="single" w:sz="8" w:space="0" w:color="auto"/>
            </w:tcBorders>
          </w:tcPr>
          <w:p w14:paraId="0661C950" w14:textId="77777777" w:rsidR="009C1430" w:rsidRDefault="009C1430" w:rsidP="009A079B">
            <w:pPr>
              <w:pStyle w:val="Abstract"/>
              <w:rPr>
                <w:sz w:val="16"/>
                <w:szCs w:val="16"/>
                <w:lang w:val="en"/>
              </w:rPr>
            </w:pPr>
          </w:p>
          <w:p w14:paraId="5E4CDC97" w14:textId="77777777" w:rsidR="009C1430" w:rsidRPr="009C1430" w:rsidRDefault="009C1430" w:rsidP="009C1430">
            <w:pPr>
              <w:jc w:val="both"/>
              <w:rPr>
                <w:rFonts w:ascii="Candara" w:hAnsi="Candara"/>
                <w:i/>
                <w:sz w:val="16"/>
                <w:szCs w:val="16"/>
              </w:rPr>
            </w:pPr>
            <w:r w:rsidRPr="009C1430">
              <w:rPr>
                <w:rFonts w:ascii="Candara" w:hAnsi="Candara"/>
                <w:i/>
                <w:sz w:val="16"/>
                <w:szCs w:val="16"/>
              </w:rPr>
              <w:t>The phenomenon of low social well-being is caused by a decline in socially conscious behaviors in adolescents and a lack of social support, which leads to a lack of social connection. Some previous studies have shown that peer social support affects social well-being, although other studies do not support this finding. This study suggests that there may be other factors (moderators) that affect the peer social support variable on social well-being, specifically savoring. The purpose of this study is to examine the effect of peer social support on social well-being with savoring as a moderator variable. This research was a quantitative study with a survey type, which was conducted on high school students in the city of Yogyakarta with a sample size of 291 students. The sample determination in this study employed a cluster random sampling technique, while the data collection utilized peer social support, social well-being, and savoring scales. Instrument validity used content validity, construct validity, and reliability based on Cronbach's Alpha with α peer social support scale = 0.947, α social well-being scale = 0.814, and α savoring scale = 0.791. Data analysis techniques using macro process by Andrew F. Hayes. The results of this study show that there is no interaction between savoring and peer social support against social well-being. This suggests that savoring is unable to moderate the impact of peer social support on adolescents' social well-being. Therefore, savoring can't change the effect of peer social support on social well-being in adolescents.</w:t>
            </w:r>
          </w:p>
          <w:p w14:paraId="54514CCA" w14:textId="1C9FCDF8" w:rsidR="009C1430" w:rsidRPr="00FE2493" w:rsidRDefault="009C1430" w:rsidP="009A079B">
            <w:pPr>
              <w:pStyle w:val="Abstract"/>
              <w:rPr>
                <w:sz w:val="16"/>
                <w:szCs w:val="16"/>
                <w:lang w:val="id-ID"/>
              </w:rPr>
            </w:pPr>
          </w:p>
        </w:tc>
      </w:tr>
      <w:tr w:rsidR="009A079B" w:rsidRPr="00FE2493" w14:paraId="02AE9D58" w14:textId="77777777" w:rsidTr="00FE2493">
        <w:trPr>
          <w:trHeight w:val="2007"/>
        </w:trPr>
        <w:tc>
          <w:tcPr>
            <w:tcW w:w="1591" w:type="pct"/>
            <w:tcBorders>
              <w:top w:val="single" w:sz="8" w:space="0" w:color="auto"/>
              <w:bottom w:val="single" w:sz="4" w:space="0" w:color="auto"/>
            </w:tcBorders>
          </w:tcPr>
          <w:p w14:paraId="303BC07E" w14:textId="1EA15F98" w:rsidR="009A079B" w:rsidRPr="00FE2493" w:rsidRDefault="009A079B" w:rsidP="009A079B">
            <w:pPr>
              <w:pStyle w:val="Abstract"/>
              <w:rPr>
                <w:b/>
                <w:bCs/>
                <w:sz w:val="16"/>
                <w:szCs w:val="16"/>
              </w:rPr>
            </w:pPr>
            <w:r w:rsidRPr="00FE2493">
              <w:rPr>
                <w:b/>
                <w:bCs/>
                <w:sz w:val="16"/>
                <w:szCs w:val="16"/>
                <w:lang w:val="id-ID"/>
              </w:rPr>
              <w:t>Keyword</w:t>
            </w:r>
            <w:r w:rsidRPr="00FE2493">
              <w:rPr>
                <w:b/>
                <w:bCs/>
                <w:sz w:val="16"/>
                <w:szCs w:val="16"/>
              </w:rPr>
              <w:t>:</w:t>
            </w:r>
          </w:p>
          <w:p w14:paraId="4D52EAFE" w14:textId="769F486E" w:rsidR="009A079B" w:rsidRPr="00FE2493" w:rsidRDefault="009C1430" w:rsidP="009A079B">
            <w:pPr>
              <w:pStyle w:val="Abstract"/>
              <w:rPr>
                <w:sz w:val="16"/>
                <w:szCs w:val="16"/>
              </w:rPr>
            </w:pPr>
            <w:r>
              <w:rPr>
                <w:sz w:val="16"/>
                <w:szCs w:val="16"/>
              </w:rPr>
              <w:t>Adolescents, peer social support, savoring, social well-being</w:t>
            </w:r>
          </w:p>
        </w:tc>
        <w:tc>
          <w:tcPr>
            <w:tcW w:w="152" w:type="pct"/>
            <w:tcBorders>
              <w:bottom w:val="single" w:sz="4" w:space="0" w:color="auto"/>
            </w:tcBorders>
          </w:tcPr>
          <w:p w14:paraId="010DDF4E" w14:textId="77777777" w:rsidR="009A079B" w:rsidRPr="00FE2493" w:rsidRDefault="009A079B" w:rsidP="009A079B">
            <w:pPr>
              <w:pStyle w:val="Abstract"/>
              <w:rPr>
                <w:sz w:val="16"/>
                <w:szCs w:val="16"/>
              </w:rPr>
            </w:pPr>
          </w:p>
        </w:tc>
        <w:tc>
          <w:tcPr>
            <w:tcW w:w="3257" w:type="pct"/>
            <w:gridSpan w:val="2"/>
            <w:vMerge/>
            <w:tcBorders>
              <w:bottom w:val="single" w:sz="4" w:space="0" w:color="auto"/>
            </w:tcBorders>
          </w:tcPr>
          <w:p w14:paraId="0C3C5C53" w14:textId="77777777" w:rsidR="009A079B" w:rsidRPr="00FE2493" w:rsidRDefault="009A079B" w:rsidP="009A079B">
            <w:pPr>
              <w:pStyle w:val="Abstract"/>
              <w:rPr>
                <w:sz w:val="16"/>
                <w:szCs w:val="16"/>
              </w:rPr>
            </w:pPr>
          </w:p>
        </w:tc>
      </w:tr>
      <w:tr w:rsidR="009A079B" w:rsidRPr="00FE2493" w14:paraId="64E93924" w14:textId="77777777" w:rsidTr="00FE2493">
        <w:trPr>
          <w:trHeight w:val="60"/>
        </w:trPr>
        <w:tc>
          <w:tcPr>
            <w:tcW w:w="3649" w:type="pct"/>
            <w:gridSpan w:val="3"/>
            <w:tcBorders>
              <w:top w:val="single" w:sz="4" w:space="0" w:color="auto"/>
              <w:left w:val="nil"/>
              <w:bottom w:val="single" w:sz="4" w:space="0" w:color="auto"/>
              <w:right w:val="nil"/>
            </w:tcBorders>
          </w:tcPr>
          <w:p w14:paraId="2CC1CC5F" w14:textId="3D22BD8C" w:rsidR="009A079B" w:rsidRPr="00FE2493" w:rsidRDefault="009A079B" w:rsidP="009A079B">
            <w:pPr>
              <w:pStyle w:val="Abstract"/>
              <w:jc w:val="center"/>
              <w:rPr>
                <w:b/>
                <w:bCs/>
                <w:sz w:val="16"/>
                <w:szCs w:val="16"/>
              </w:rPr>
            </w:pPr>
            <w:r w:rsidRPr="00FE2493">
              <w:rPr>
                <w:b/>
                <w:bCs/>
                <w:sz w:val="16"/>
                <w:szCs w:val="16"/>
                <w:lang w:val="id-ID"/>
              </w:rPr>
              <w:t>ABSTRAK</w:t>
            </w:r>
          </w:p>
        </w:tc>
        <w:tc>
          <w:tcPr>
            <w:tcW w:w="1351" w:type="pct"/>
            <w:tcBorders>
              <w:top w:val="single" w:sz="4" w:space="0" w:color="auto"/>
              <w:left w:val="nil"/>
              <w:bottom w:val="single" w:sz="4" w:space="0" w:color="auto"/>
              <w:right w:val="nil"/>
            </w:tcBorders>
            <w:vAlign w:val="center"/>
          </w:tcPr>
          <w:p w14:paraId="21CA31E7" w14:textId="0D051AEC" w:rsidR="009A079B" w:rsidRPr="00FE2493" w:rsidRDefault="009A079B" w:rsidP="009A079B">
            <w:pPr>
              <w:pStyle w:val="Abstract"/>
              <w:rPr>
                <w:b/>
                <w:bCs/>
                <w:sz w:val="16"/>
                <w:szCs w:val="16"/>
                <w:lang w:val="id-ID"/>
              </w:rPr>
            </w:pPr>
            <w:r w:rsidRPr="00FE2493">
              <w:rPr>
                <w:b/>
                <w:bCs/>
                <w:sz w:val="16"/>
                <w:szCs w:val="16"/>
                <w:lang w:val="id-ID"/>
              </w:rPr>
              <w:t>Kata Kunci</w:t>
            </w:r>
          </w:p>
        </w:tc>
      </w:tr>
      <w:tr w:rsidR="009A079B" w:rsidRPr="00FE2493" w14:paraId="1DCD133F" w14:textId="77777777" w:rsidTr="00FE2493">
        <w:trPr>
          <w:trHeight w:val="2230"/>
        </w:trPr>
        <w:tc>
          <w:tcPr>
            <w:tcW w:w="3649" w:type="pct"/>
            <w:gridSpan w:val="3"/>
            <w:tcBorders>
              <w:top w:val="single" w:sz="4" w:space="0" w:color="auto"/>
              <w:left w:val="nil"/>
              <w:bottom w:val="nil"/>
              <w:right w:val="nil"/>
            </w:tcBorders>
          </w:tcPr>
          <w:p w14:paraId="3FC0921C" w14:textId="21C4D071" w:rsidR="009C1430" w:rsidRPr="009C1430" w:rsidRDefault="009C1430" w:rsidP="009C1430">
            <w:pPr>
              <w:jc w:val="both"/>
              <w:rPr>
                <w:rFonts w:ascii="Candara" w:hAnsi="Candara"/>
                <w:i/>
                <w:iCs/>
                <w:sz w:val="16"/>
                <w:szCs w:val="16"/>
              </w:rPr>
            </w:pPr>
            <w:r w:rsidRPr="009C1430">
              <w:rPr>
                <w:rFonts w:ascii="Candara" w:hAnsi="Candara"/>
                <w:i/>
                <w:iCs/>
                <w:sz w:val="16"/>
                <w:szCs w:val="16"/>
              </w:rPr>
              <w:t xml:space="preserve">Fenomena rendahnya social well-being diakibatkan oleh merosotnya nilai perilaku kepedulian sosial pada remaja dan kurangnya dukungan sosial sehingga remaja tidak merasa terhubung secara sosial. Beberapa penelitian sebelumnya menunjukkan bahwa peer social support berpengaruh terhadap social well-being meskipun penelitian lain tidak mendukung. Penelitian ini menduga bahwa terdapat faktor lain (moderator) yang turut mempengaruhi variabel peer social support terhadap social well-being yaitu savoring. Tujuan penelitian ini untuk menguji pengaruh peer social support terhadap social well-being dengan savoring sebagai variabel moderator. Penelitian ini merupakan penelitian kuantitatif dengan jenis survei. Penelitian ini dilakukan pada siswa SMA/MAN di kota Yogyakarta dengan jumlah sampel sebanyak 291 siswa. Penentuan sampel dalam penelitian ini menggunakan teknik cluster random sampling, sedangkan pengumpulan data penelitian ini menggunakan skala peer social support, social well-being dan savoring. Validitas instrumen menggunakan validitas isi, validitas konstruk dan reliabilitas berdasarkan Alpha Cronbach dengan α skala peer social support = 0.947, α skala social well-being = 0.814 dan α skala savoring = 0.791. Teknik analisis data menggunakan Macro Process by Andrew F. Hayes. Hasil penelitian ini menunjukkan bahwa tidak terdapat interaksi antara savoring   dan peer social support terhadap social well-being. Hal tersebut menunjukkan bahwa variabel savoring tidak dapat memoderasi pengaruh peer social support terhadap social well-being pada remaja. Oleh karena itu, dapat diambil kesimpulan bahwa savoring tidak dapat mengubah pengaruh peer social support terhadap social well-being pada remaja.  </w:t>
            </w:r>
          </w:p>
        </w:tc>
        <w:tc>
          <w:tcPr>
            <w:tcW w:w="1351" w:type="pct"/>
            <w:tcBorders>
              <w:top w:val="single" w:sz="4" w:space="0" w:color="auto"/>
              <w:left w:val="nil"/>
              <w:bottom w:val="nil"/>
              <w:right w:val="nil"/>
            </w:tcBorders>
          </w:tcPr>
          <w:p w14:paraId="59B20740" w14:textId="0663C712" w:rsidR="009A079B" w:rsidRPr="00FE2493" w:rsidRDefault="009C1430" w:rsidP="009A079B">
            <w:pPr>
              <w:pStyle w:val="Abstract"/>
              <w:rPr>
                <w:sz w:val="16"/>
                <w:szCs w:val="16"/>
                <w:lang w:val="id-ID"/>
              </w:rPr>
            </w:pPr>
            <w:r>
              <w:rPr>
                <w:sz w:val="16"/>
                <w:szCs w:val="16"/>
                <w:lang w:val="id-ID"/>
              </w:rPr>
              <w:t>Peer social support, remaja, savoring, social well-being</w:t>
            </w:r>
          </w:p>
        </w:tc>
      </w:tr>
      <w:tr w:rsidR="009A079B" w:rsidRPr="00FE2493" w14:paraId="535CD558" w14:textId="77777777" w:rsidTr="009A079B">
        <w:trPr>
          <w:trHeight w:val="249"/>
        </w:trPr>
        <w:tc>
          <w:tcPr>
            <w:tcW w:w="5000" w:type="pct"/>
            <w:gridSpan w:val="4"/>
            <w:tcBorders>
              <w:top w:val="nil"/>
              <w:bottom w:val="single" w:sz="8" w:space="0" w:color="auto"/>
            </w:tcBorders>
          </w:tcPr>
          <w:p w14:paraId="407E9667" w14:textId="4B7E9B80" w:rsidR="009A079B" w:rsidRPr="00FE2493" w:rsidRDefault="009A079B" w:rsidP="009A079B">
            <w:pPr>
              <w:pStyle w:val="Abstract"/>
              <w:jc w:val="right"/>
              <w:rPr>
                <w:sz w:val="16"/>
                <w:szCs w:val="16"/>
              </w:rPr>
            </w:pPr>
            <w:r w:rsidRPr="00FE2493">
              <w:rPr>
                <w:sz w:val="16"/>
                <w:szCs w:val="16"/>
              </w:rPr>
              <w:t>Copyright (c) Psikoborneo: Jurnal Ilmiah Psikologi</w:t>
            </w:r>
          </w:p>
        </w:tc>
      </w:tr>
      <w:tr w:rsidR="00EA2D61" w:rsidRPr="00FE2493" w14:paraId="7804B639" w14:textId="77777777" w:rsidTr="00FE2493">
        <w:trPr>
          <w:trHeight w:val="1124"/>
        </w:trPr>
        <w:tc>
          <w:tcPr>
            <w:tcW w:w="5000" w:type="pct"/>
            <w:gridSpan w:val="4"/>
            <w:tcBorders>
              <w:bottom w:val="thickThinSmallGap" w:sz="12" w:space="0" w:color="auto"/>
            </w:tcBorders>
          </w:tcPr>
          <w:p w14:paraId="39727F40" w14:textId="75C19194" w:rsidR="00EA2D61" w:rsidRPr="00FE2493" w:rsidRDefault="00EA14F8" w:rsidP="009A079B">
            <w:pPr>
              <w:pStyle w:val="Abstract"/>
              <w:jc w:val="left"/>
              <w:rPr>
                <w:b/>
                <w:bCs/>
                <w:sz w:val="16"/>
                <w:szCs w:val="16"/>
                <w:lang w:val="id-ID"/>
              </w:rPr>
            </w:pPr>
            <w:r w:rsidRPr="00FE2493">
              <w:rPr>
                <w:b/>
                <w:bCs/>
                <w:sz w:val="16"/>
                <w:szCs w:val="16"/>
              </w:rPr>
              <w:t>Korespondensi</w:t>
            </w:r>
            <w:r w:rsidRPr="00FE2493">
              <w:rPr>
                <w:b/>
                <w:bCs/>
                <w:sz w:val="16"/>
                <w:szCs w:val="16"/>
                <w:lang w:val="id-ID"/>
              </w:rPr>
              <w:t>:</w:t>
            </w:r>
          </w:p>
          <w:p w14:paraId="1DFAD14E" w14:textId="3A3C5E99" w:rsidR="00EA14F8" w:rsidRPr="00FE2493" w:rsidRDefault="00EA14F8" w:rsidP="009A079B">
            <w:pPr>
              <w:pStyle w:val="Abstract"/>
              <w:jc w:val="left"/>
              <w:rPr>
                <w:sz w:val="16"/>
                <w:szCs w:val="16"/>
                <w:lang w:val="id-ID"/>
              </w:rPr>
            </w:pPr>
          </w:p>
          <w:p w14:paraId="3A5CF3F4" w14:textId="6B5D9288" w:rsidR="00EA14F8" w:rsidRPr="00FE2493" w:rsidRDefault="00EA14F8" w:rsidP="009A079B">
            <w:pPr>
              <w:pStyle w:val="Abstract"/>
              <w:rPr>
                <w:b/>
                <w:bCs/>
                <w:sz w:val="16"/>
                <w:szCs w:val="16"/>
                <w:lang w:val="id-ID"/>
              </w:rPr>
            </w:pPr>
            <w:r w:rsidRPr="00FE2493">
              <w:rPr>
                <w:b/>
                <w:bCs/>
                <w:sz w:val="16"/>
                <w:szCs w:val="16"/>
                <w:lang w:val="id-ID"/>
              </w:rPr>
              <w:t>Nama Korespondensi</w:t>
            </w:r>
          </w:p>
          <w:p w14:paraId="0DEEF2DD" w14:textId="2E57796B" w:rsidR="00EA14F8" w:rsidRPr="00FE2493" w:rsidRDefault="00EA14F8" w:rsidP="009A079B">
            <w:pPr>
              <w:pStyle w:val="Abstract"/>
              <w:rPr>
                <w:sz w:val="16"/>
                <w:szCs w:val="16"/>
                <w:lang w:val="id-ID"/>
              </w:rPr>
            </w:pPr>
            <w:r w:rsidRPr="00FE2493">
              <w:rPr>
                <w:sz w:val="16"/>
                <w:szCs w:val="16"/>
                <w:lang w:val="id-ID"/>
              </w:rPr>
              <w:t>Institusi</w:t>
            </w:r>
          </w:p>
          <w:p w14:paraId="5A7FE86E" w14:textId="57BBEC9E" w:rsidR="00EA14F8" w:rsidRPr="00FE2493" w:rsidRDefault="00EA14F8" w:rsidP="009A079B">
            <w:pPr>
              <w:pStyle w:val="Abstract"/>
              <w:jc w:val="left"/>
              <w:rPr>
                <w:sz w:val="16"/>
                <w:szCs w:val="16"/>
                <w:lang w:val="id-ID"/>
              </w:rPr>
            </w:pPr>
            <w:r w:rsidRPr="00FE2493">
              <w:rPr>
                <w:sz w:val="16"/>
                <w:szCs w:val="16"/>
                <w:lang w:val="id-ID"/>
              </w:rPr>
              <w:t>Email: ppppppppp@pppppp.com</w:t>
            </w:r>
          </w:p>
        </w:tc>
      </w:tr>
    </w:tbl>
    <w:p w14:paraId="587222C2" w14:textId="5F493CD2" w:rsidR="00461691" w:rsidRPr="00FE2493" w:rsidRDefault="00FD02DB" w:rsidP="009A079B">
      <w:pPr>
        <w:rPr>
          <w:rFonts w:ascii="Candara" w:hAnsi="Candara"/>
        </w:rPr>
        <w:sectPr w:rsidR="00461691" w:rsidRPr="00FE2493" w:rsidSect="00FE2493">
          <w:headerReference w:type="even" r:id="rId8"/>
          <w:headerReference w:type="default" r:id="rId9"/>
          <w:footerReference w:type="even" r:id="rId10"/>
          <w:headerReference w:type="first" r:id="rId11"/>
          <w:footerReference w:type="first" r:id="rId12"/>
          <w:pgSz w:w="11906" w:h="16838" w:code="9"/>
          <w:pgMar w:top="567" w:right="567" w:bottom="567" w:left="851" w:header="720" w:footer="720" w:gutter="0"/>
          <w:cols w:space="720"/>
          <w:titlePg/>
          <w:docGrid w:linePitch="360"/>
        </w:sectPr>
      </w:pPr>
      <w:r w:rsidRPr="00FE2493">
        <w:rPr>
          <w:rFonts w:ascii="Candara" w:hAnsi="Candara"/>
        </w:rPr>
        <w:br w:type="page"/>
      </w:r>
    </w:p>
    <w:p w14:paraId="06E37CB6" w14:textId="50B99DE1" w:rsidR="004A2BD0" w:rsidRPr="00FE2493" w:rsidRDefault="004A2BD0" w:rsidP="00FE2493">
      <w:pPr>
        <w:pStyle w:val="Heading"/>
        <w:jc w:val="center"/>
        <w:rPr>
          <w:sz w:val="20"/>
          <w:szCs w:val="20"/>
        </w:rPr>
      </w:pPr>
      <w:r w:rsidRPr="00FE2493">
        <w:rPr>
          <w:sz w:val="20"/>
          <w:szCs w:val="20"/>
        </w:rPr>
        <w:lastRenderedPageBreak/>
        <w:t>Latar belakang</w:t>
      </w:r>
    </w:p>
    <w:p w14:paraId="58D8B5BB" w14:textId="261B21BD" w:rsidR="009C1430" w:rsidRPr="009C1430" w:rsidRDefault="009C1430" w:rsidP="0005725D">
      <w:pPr>
        <w:pBdr>
          <w:top w:val="nil"/>
          <w:left w:val="nil"/>
          <w:bottom w:val="nil"/>
          <w:right w:val="nil"/>
          <w:between w:val="nil"/>
        </w:pBdr>
        <w:spacing w:after="0" w:line="240" w:lineRule="auto"/>
        <w:ind w:right="154"/>
        <w:jc w:val="both"/>
        <w:rPr>
          <w:rFonts w:ascii="Candara" w:hAnsi="Candara"/>
          <w:sz w:val="20"/>
          <w:szCs w:val="20"/>
        </w:rPr>
      </w:pPr>
      <w:r w:rsidRPr="009C1430">
        <w:rPr>
          <w:sz w:val="20"/>
          <w:szCs w:val="20"/>
        </w:rPr>
        <w:tab/>
      </w:r>
      <w:r w:rsidRPr="009C1430">
        <w:rPr>
          <w:rFonts w:ascii="Candara" w:hAnsi="Candara"/>
          <w:sz w:val="20"/>
          <w:szCs w:val="20"/>
        </w:rPr>
        <w:t xml:space="preserve">Masa remaja akhir </w:t>
      </w:r>
      <w:r w:rsidR="00D74B38">
        <w:rPr>
          <w:rFonts w:ascii="Candara" w:hAnsi="Candara"/>
          <w:sz w:val="20"/>
          <w:szCs w:val="20"/>
        </w:rPr>
        <w:t>rentang</w:t>
      </w:r>
      <w:r w:rsidRPr="009C1430">
        <w:rPr>
          <w:rFonts w:ascii="Candara" w:hAnsi="Candara"/>
          <w:sz w:val="20"/>
          <w:szCs w:val="20"/>
        </w:rPr>
        <w:t xml:space="preserve"> antara usia 15- 18 tahun. Mayoritas remaja akhir</w:t>
      </w:r>
      <w:r w:rsidR="00D74B38">
        <w:rPr>
          <w:rFonts w:ascii="Candara" w:hAnsi="Candara"/>
          <w:sz w:val="20"/>
          <w:szCs w:val="20"/>
        </w:rPr>
        <w:t xml:space="preserve"> </w:t>
      </w:r>
      <w:r w:rsidRPr="009C1430">
        <w:rPr>
          <w:rFonts w:ascii="Candara" w:hAnsi="Candara"/>
          <w:sz w:val="20"/>
          <w:szCs w:val="20"/>
        </w:rPr>
        <w:t xml:space="preserve">berada pada tingkat Sekolah Menengah Atas (SMA). </w:t>
      </w:r>
      <w:r w:rsidR="00D11DAD">
        <w:rPr>
          <w:rFonts w:ascii="Candara" w:hAnsi="Candara"/>
          <w:sz w:val="20"/>
          <w:szCs w:val="20"/>
        </w:rPr>
        <w:t xml:space="preserve">Remaja akhir mengalami masa transisi penting yang dipenuhi </w:t>
      </w:r>
      <w:r w:rsidRPr="009C1430">
        <w:rPr>
          <w:rFonts w:ascii="Candara" w:hAnsi="Candara"/>
          <w:sz w:val="20"/>
          <w:szCs w:val="20"/>
        </w:rPr>
        <w:t xml:space="preserve">banyak perubahan secara psikologis meliputi keadaan emosi, intelektual, serta kehidupan sosial. Tahap remaja menyebabkan muncul beragam perilaku menyimpang dan tindakan kriminalitas yang mengganggu bahkan meresahkan masyarakat </w:t>
      </w:r>
      <w:r w:rsidRPr="009C1430">
        <w:rPr>
          <w:rFonts w:ascii="Candara" w:hAnsi="Candara"/>
          <w:sz w:val="20"/>
          <w:szCs w:val="20"/>
        </w:rPr>
        <w:fldChar w:fldCharType="begin" w:fldLock="1"/>
      </w:r>
      <w:r w:rsidR="00A265CC">
        <w:rPr>
          <w:rFonts w:ascii="Candara" w:hAnsi="Candara"/>
          <w:sz w:val="20"/>
          <w:szCs w:val="20"/>
        </w:rPr>
        <w:instrText>ADDIN CSL_CITATION {"citationItems":[{"id":"ITEM-1","itemData":{"abstract":"This study aims to determine the relationship between Religiosity and Psychological well being in terms of the Big Five Personality in high school students 6 Binjai. There are two hypotheses proposed in this study, namely, there is a relationship between religiosity and Psychological well being in SMA 6 Binjai students and there is a difference between Psychological well being in terms of big five personality in SMA 6 Binjai students. Analysis of the data used in this research is covariance analysis. This research was conducted at the 6th and XI high school 6 Binjai students in the 2013/2014 academic year. This sample was taken by random sampling method, with a total sample of 85 students from the total population. The analysis used is covariance analysis, because it aims to test the hypothesis of one dependent variable (y), one independent variable (x), and one covariable. Based on the analysis of the data above, it was obtained F = 2395,290 with a significance of 0,000 and p &lt;0.05. Based on these results it is said that there is a relationship between religiosity and Psychological well being on the big five personality. Then obtained F = 1.845, sig 0.128 with p&gt; 0.05 which means that there is no difference in Psychological well being among the five personality types of big five personality.","author":[{"dropping-particle":"","family":"Batubara","given":"Azizah","non-dropping-particle":"","parse-names":false,"suffix":""}],"container-title":"Al-Irsyad: Jurnal Pendidikan dan Konseling","id":"ITEM-1","issue":"1","issued":{"date-parts":[["2017"]]},"page":"48-62","title":"Hubungan antara Religiusitas dengan Psychological Well Being Ditinjau dari Big Five Personality pada Siswa SMA Negeri 6 Binjai","type":"article-journal","volume":"7"},"uris":["http://www.mendeley.com/documents/?uuid=a6df275f-6664-4454-b96c-85bb5c138ca5"]}],"mendeley":{"formattedCitation":"(Batubara 2017)","plainTextFormattedCitation":"(Batubara 2017)","previouslyFormattedCitation":"(Batubara 2017)"},"properties":{"noteIndex":0},"schema":"https://github.com/citation-style-language/schema/raw/master/csl-citation.json"}</w:instrText>
      </w:r>
      <w:r w:rsidRPr="009C1430">
        <w:rPr>
          <w:rFonts w:ascii="Candara" w:hAnsi="Candara"/>
          <w:sz w:val="20"/>
          <w:szCs w:val="20"/>
        </w:rPr>
        <w:fldChar w:fldCharType="separate"/>
      </w:r>
      <w:r w:rsidR="00AD0D51" w:rsidRPr="00AD0D51">
        <w:rPr>
          <w:rFonts w:ascii="Candara" w:hAnsi="Candara"/>
          <w:noProof/>
          <w:sz w:val="20"/>
          <w:szCs w:val="20"/>
        </w:rPr>
        <w:t>(Batubara 2017)</w:t>
      </w:r>
      <w:r w:rsidRPr="009C1430">
        <w:rPr>
          <w:rFonts w:ascii="Candara" w:hAnsi="Candara"/>
          <w:sz w:val="20"/>
          <w:szCs w:val="20"/>
        </w:rPr>
        <w:fldChar w:fldCharType="end"/>
      </w:r>
      <w:r w:rsidRPr="009C1430">
        <w:rPr>
          <w:rFonts w:ascii="Candara" w:hAnsi="Candara"/>
          <w:sz w:val="20"/>
          <w:szCs w:val="20"/>
        </w:rPr>
        <w:t>. Oleh karena itu</w:t>
      </w:r>
      <w:r w:rsidRPr="009C1430">
        <w:rPr>
          <w:rFonts w:ascii="Candara" w:hAnsi="Candara"/>
          <w:i/>
          <w:iCs/>
          <w:sz w:val="20"/>
          <w:szCs w:val="20"/>
        </w:rPr>
        <w:t xml:space="preserve"> well-being</w:t>
      </w:r>
      <w:r w:rsidRPr="009C1430">
        <w:rPr>
          <w:rFonts w:ascii="Candara" w:hAnsi="Candara"/>
          <w:sz w:val="20"/>
          <w:szCs w:val="20"/>
        </w:rPr>
        <w:t xml:space="preserve"> diperlukan pada remaja agar faktor sosial semacam konflik keluarga, kekerasan serta kondisi komunitas tidak mempengaruhi kesehatan mental dan perilaku berisiko seperti penggunaan narkoba, perilaku bunuh diri, melukai diri sendiri bahkan kenakalan</w:t>
      </w:r>
      <w:r w:rsidR="00F8024C">
        <w:rPr>
          <w:rFonts w:ascii="Candara" w:hAnsi="Candara"/>
          <w:sz w:val="20"/>
          <w:szCs w:val="20"/>
        </w:rPr>
        <w:t xml:space="preserve"> </w:t>
      </w:r>
      <w:r w:rsidR="00F8024C">
        <w:rPr>
          <w:rFonts w:ascii="Candara" w:hAnsi="Candara"/>
          <w:sz w:val="20"/>
          <w:szCs w:val="20"/>
        </w:rPr>
        <w:fldChar w:fldCharType="begin" w:fldLock="1"/>
      </w:r>
      <w:r w:rsidR="007B51EC">
        <w:rPr>
          <w:rFonts w:ascii="Candara" w:hAnsi="Candara"/>
          <w:sz w:val="20"/>
          <w:szCs w:val="20"/>
        </w:rPr>
        <w:instrText>ADDIN CSL_CITATION {"citationItems":[{"id":"ITEM-1","itemData":{"author":[{"dropping-particle":"","family":"Azizah","given":"Nisa","non-dropping-particle":"","parse-names":false,"suffix":""},{"dropping-particle":"","family":"dan Laily","given":"Nadhirotul","non-dropping-particle":"","parse-names":false,"suffix":""}],"container-title":"Psikoborneo: Jurnal Ilmiah Psikologi","id":"ITEM-1","issue":"2","issued":{"date-parts":[["2025"]]},"page":"251-260","title":"Reframing Happiness : The Effect of Mindfulness Practice on Adolescent Subjective Well- Being","type":"article-journal","volume":"13"},"uris":["http://www.mendeley.com/documents/?uuid=9439a675-45a5-4228-9c4e-c20b6060ac6d"]},{"id":"ITEM-2","itemData":{"DOI":"10.1093/heapro/daw038","ISSN":"14602245","PMID":"27153917","abstract":"Stress and strain among adolescents have been investigated and discussed largely within three separate disciplines: mental health, where the focus has been on the negative effects of stress on emotional health; criminology, where the emphasis has been on the effects of strain on delinquency; and biology, where the focus has been to understand the effects of stress on physiology. Recently, scholars have called for increased multilevel developmental analyses of the bio-psychosocial nature of risk and protection for behaviors of individuals. This paper draws on several different but converging theoretical perspectives in an attempt to provide an overview of research relevant to stress in adolescence and puts forth a new framework that aims to provide both a common language and consilience by which future research can analyze the effects of multiple biological, social and environmental factors experienced during specific developmental periods, and cumulatively over time, on harmful behavior during adolescence. We present a framework to examine the effects of stress on diverse behavioral outcomes among adolescents, including substance use, suicidal behavior, self-inflicted harm, and delinquency.","author":[{"dropping-particle":"","family":"Sigfusdottir","given":"Inga Dora","non-dropping-particle":"","parse-names":false,"suffix":""},{"dropping-particle":"","family":"Kristjansson","given":"Alfgeir Logi","non-dropping-particle":"","parse-names":false,"suffix":""},{"dropping-particle":"","family":"Thorlindsson","given":"Thorolfur","non-dropping-particle":"","parse-names":false,"suffix":""},{"dropping-particle":"","family":"Allegrante","given":"John P.","non-dropping-particle":"","parse-names":false,"suffix":""}],"container-title":"Health Promotion International","id":"ITEM-2","issue":"6","issued":{"date-parts":[["2017"]]},"page":"1081-1090","title":"Stress and adolescent well-being: The need for an interdisciplinary framework","type":"article-journal","volume":"32"},"uris":["http://www.mendeley.com/documents/?uuid=f739227d-211e-4c93-9f91-46ce4f6cf251"]}],"mendeley":{"formattedCitation":"(Azizah and dan Laily 2025; Sigfusdottir et al. 2017)","manualFormatting":"(Azizah and Laily 2025; Sigfusdottir et al 2017)","plainTextFormattedCitation":"(Azizah and dan Laily 2025; Sigfusdottir et al. 2017)","previouslyFormattedCitation":"(Azizah and dan Laily 2025; Sigfusdottir et al. 2017)"},"properties":{"noteIndex":0},"schema":"https://github.com/citation-style-language/schema/raw/master/csl-citation.json"}</w:instrText>
      </w:r>
      <w:r w:rsidR="00F8024C">
        <w:rPr>
          <w:rFonts w:ascii="Candara" w:hAnsi="Candara"/>
          <w:sz w:val="20"/>
          <w:szCs w:val="20"/>
        </w:rPr>
        <w:fldChar w:fldCharType="separate"/>
      </w:r>
      <w:r w:rsidR="00F8024C" w:rsidRPr="00F8024C">
        <w:rPr>
          <w:rFonts w:ascii="Candara" w:hAnsi="Candara"/>
          <w:noProof/>
          <w:sz w:val="20"/>
          <w:szCs w:val="20"/>
        </w:rPr>
        <w:t>(Azizah</w:t>
      </w:r>
      <w:r w:rsidR="00F8024C">
        <w:rPr>
          <w:rFonts w:ascii="Candara" w:hAnsi="Candara"/>
          <w:noProof/>
          <w:sz w:val="20"/>
          <w:szCs w:val="20"/>
        </w:rPr>
        <w:t xml:space="preserve"> and</w:t>
      </w:r>
      <w:r w:rsidR="00F8024C" w:rsidRPr="00F8024C">
        <w:rPr>
          <w:rFonts w:ascii="Candara" w:hAnsi="Candara"/>
          <w:noProof/>
          <w:sz w:val="20"/>
          <w:szCs w:val="20"/>
        </w:rPr>
        <w:t xml:space="preserve"> Laily 2025; Sigfusdottir et al</w:t>
      </w:r>
      <w:r w:rsidR="00F8024C">
        <w:rPr>
          <w:rFonts w:ascii="Candara" w:hAnsi="Candara"/>
          <w:noProof/>
          <w:sz w:val="20"/>
          <w:szCs w:val="20"/>
        </w:rPr>
        <w:t xml:space="preserve"> </w:t>
      </w:r>
      <w:r w:rsidR="00F8024C" w:rsidRPr="00F8024C">
        <w:rPr>
          <w:rFonts w:ascii="Candara" w:hAnsi="Candara"/>
          <w:noProof/>
          <w:sz w:val="20"/>
          <w:szCs w:val="20"/>
        </w:rPr>
        <w:t>2017)</w:t>
      </w:r>
      <w:r w:rsidR="00F8024C">
        <w:rPr>
          <w:rFonts w:ascii="Candara" w:hAnsi="Candara"/>
          <w:sz w:val="20"/>
          <w:szCs w:val="20"/>
        </w:rPr>
        <w:fldChar w:fldCharType="end"/>
      </w:r>
      <w:r w:rsidRPr="009C1430">
        <w:rPr>
          <w:rFonts w:ascii="Candara" w:hAnsi="Candara"/>
          <w:sz w:val="20"/>
          <w:szCs w:val="20"/>
        </w:rPr>
        <w:t xml:space="preserve">. </w:t>
      </w:r>
      <w:r w:rsidRPr="009C1430">
        <w:rPr>
          <w:rFonts w:ascii="Candara" w:hAnsi="Candara"/>
          <w:i/>
          <w:iCs/>
          <w:sz w:val="20"/>
          <w:szCs w:val="20"/>
        </w:rPr>
        <w:t>Well-being</w:t>
      </w:r>
      <w:r w:rsidRPr="009C1430">
        <w:rPr>
          <w:rFonts w:ascii="Candara" w:hAnsi="Candara"/>
          <w:sz w:val="20"/>
          <w:szCs w:val="20"/>
        </w:rPr>
        <w:t xml:space="preserve"> menjadi kondisi saat remaja mengenal dan membangun kecerdasan interpersonal, membangun hubungan positif dengan orang lain serta aktif mengembangkan potensi diri dan berkontribusi dalam komunitas </w:t>
      </w:r>
      <w:r w:rsidRPr="009C1430">
        <w:rPr>
          <w:rFonts w:ascii="Candara" w:hAnsi="Candara"/>
          <w:sz w:val="20"/>
          <w:szCs w:val="20"/>
        </w:rPr>
        <w:fldChar w:fldCharType="begin" w:fldLock="1"/>
      </w:r>
      <w:r w:rsidR="00A265CC">
        <w:rPr>
          <w:rFonts w:ascii="Candara" w:hAnsi="Candara"/>
          <w:sz w:val="20"/>
          <w:szCs w:val="20"/>
        </w:rPr>
        <w:instrText>ADDIN CSL_CITATION {"citationItems":[{"id":"ITEM-1","itemData":{"DOI":"10.1007/s10902-013-9485-0","ISSN":"15737780","abstract":"Interest in eudaimonia (e.g., growth, meaning, authenticity, excellence) and its distinction from hedonia (e.g., pleasure, enjoyment, comfort, absence of distress) is growing rapidly, as researchers recognize that both concepts are central to the study of well-being. Yet research on these concepts faces challenges as well: findings based on different operationalizations can be quite discrepant; definitions of eudaimonia and hedonia sometimes fall into different categories of analysis (e.g. when eudaimonia is described as a way of functioning, hedonia as an experience); and the terms eudaimonia and hedonia are sometimes defined vaguely or applied to concepts that may be mere correlates. To aid in addressing these challenges, we propose the following terminology and classification for discussing conceptual and operational definitions: (1) degree of centrality—differentiating concepts that are core (i.e., definitional), close-to-core (i.e., given some attention but not central), and major correlates; (2) category of analysis—identifying which of the following categories a definition represents: (a) orientations (orientations, values, motives, and goals), (b) behaviors (behavioral content, activity characteristics), (c) experiences (subjective experiences, emotions, cognitive appraisals), (d) functioning (indices of positive psychological functioning, mental health, flourishing); and (3) level of measurement—identifying whether a definition is used for trait and/or state comparisons. The work of scholars with a program of research on eudaimonia or the distinction between eudaimonia and hedonia is reviewed and discussed within the framework of the proposed classification; several points of convergence and divergence across definitions are highlighted; and important questions and directions for future research are identified.","author":[{"dropping-particle":"","family":"Huta","given":"Veronika","non-dropping-particle":"","parse-names":false,"suffix":""},{"dropping-particle":"","family":"Waterman","given":"Alan S.","non-dropping-particle":"","parse-names":false,"suffix":""}],"container-title":"Journal of Happiness Studies","id":"ITEM-1","issue":"6","issued":{"date-parts":[["2014"]]},"page":"1425-1456","title":"Eudaimonia and Its Distinction from Hedonia: Developing a Classification and Terminology for Understanding Conceptual and Operational Definitions","type":"article-journal","volume":"15"},"uris":["http://www.mendeley.com/documents/?uuid=03ff4e72-bd7a-4136-8118-43820781e914"]},{"id":"ITEM-2","itemData":{"DOI":"10.33508/exp.v10i2.2946","ISSN":"22527702","abstract":"Ketika memasuki usia remaja, individu memerlukan kondisi wellbeing yang baik agar dapat mengembangkan potensi yang dimilikinya, serta berkarya secara produktif dan efektif. Wellbeing memiliki 2 pendekatan, yaitu pendekatan hedonic atau subjective wellbeing dan pendekatan eudaemonic atau psychological wellbeing. Dalam mencapai hal tersebut, maka dibutuhkannya konsep diri untuk membantu individu memahami dirinya melalui kondisi fisik, sosial, serta aspek-aspek personal seperti kepribadian, sikap, dan perilaku. Dengan mencapai identitas yang utuh, individu dapat memiliki fungsi psikologis dan sosial yang baik, serta mengurangi masalah pada perilakunya. Dengan kata lain, pencapaian identitas melalui konsep diri yang positif mengarah pada kondisi wellbeing yang baik. Penelitian ini melibatkan 72 orang remaja yang berusia 18-21 tahun di Surabaya. Pengambilan sampel dilakukan dengan menggunakan teknik accidental sampling. Peneliti menggunakan skala Pemberton Happiness Index untuk mengukur wellbeing dan skala Personal Self-concept Questionnaire untuk mengukur konsep diri. Data penelitian dianalisis dengan menggunakan teknik korelasi non-parametrik Kendall’s tau-b. Hasil penelitian menunjukkan korelasi positif yang signifikan antara variabel konsep diri dengan wellbeing, r = 0,456 dan p = 0,000 (p &lt; 0,05). Hal ini menunjukkan bahwa semakin baik konsep diri remaja, maka semakin baik pula wellbeing­ remaja. Demikian pula sebaliknya, konsep diri yang kurang diikuti oleh menurunnya wellbeing.","author":[{"dropping-particle":"","family":"Tedjasuksmana","given":"Christianto","non-dropping-particle":"","parse-names":false,"suffix":""}],"container-title":"Experientia: Jurnal Psikologi Indonesia","id":"ITEM-2","issue":"2","issued":{"date-parts":[["2022"]]},"page":"121-132","title":"Hubungan Antara Konsep Diri Dengan Wellbeing Pada Remaja Akhir Di Surabaya","type":"article-journal","volume":"10"},"uris":["http://www.mendeley.com/documents/?uuid=e246e42e-ae74-49f7-ad64-b00aacacb03a"]}],"mendeley":{"formattedCitation":"(Huta and Waterman 2014; Tedjasuksmana 2022)","plainTextFormattedCitation":"(Huta and Waterman 2014; Tedjasuksmana 2022)","previouslyFormattedCitation":"(Huta and Waterman 2014; Tedjasuksmana 2022)"},"properties":{"noteIndex":0},"schema":"https://github.com/citation-style-language/schema/raw/master/csl-citation.json"}</w:instrText>
      </w:r>
      <w:r w:rsidRPr="009C1430">
        <w:rPr>
          <w:rFonts w:ascii="Candara" w:hAnsi="Candara"/>
          <w:sz w:val="20"/>
          <w:szCs w:val="20"/>
        </w:rPr>
        <w:fldChar w:fldCharType="separate"/>
      </w:r>
      <w:r w:rsidR="00AD0D51" w:rsidRPr="00AD0D51">
        <w:rPr>
          <w:rFonts w:ascii="Candara" w:hAnsi="Candara"/>
          <w:noProof/>
          <w:sz w:val="20"/>
          <w:szCs w:val="20"/>
        </w:rPr>
        <w:t>(Huta and Waterman 2014; Tedjasuksmana 2022)</w:t>
      </w:r>
      <w:r w:rsidRPr="009C1430">
        <w:rPr>
          <w:rFonts w:ascii="Candara" w:hAnsi="Candara"/>
          <w:sz w:val="20"/>
          <w:szCs w:val="20"/>
        </w:rPr>
        <w:fldChar w:fldCharType="end"/>
      </w:r>
      <w:r w:rsidRPr="009C1430">
        <w:rPr>
          <w:rFonts w:ascii="Candara" w:hAnsi="Candara"/>
          <w:sz w:val="20"/>
          <w:szCs w:val="20"/>
        </w:rPr>
        <w:t xml:space="preserve">. Salah satu komponen penting dari </w:t>
      </w:r>
      <w:r w:rsidRPr="009C1430">
        <w:rPr>
          <w:rFonts w:ascii="Candara" w:hAnsi="Candara"/>
          <w:i/>
          <w:iCs/>
          <w:sz w:val="20"/>
          <w:szCs w:val="20"/>
        </w:rPr>
        <w:t xml:space="preserve">well-being </w:t>
      </w:r>
      <w:r w:rsidRPr="009C1430">
        <w:rPr>
          <w:rFonts w:ascii="Candara" w:hAnsi="Candara"/>
          <w:sz w:val="20"/>
          <w:szCs w:val="20"/>
        </w:rPr>
        <w:t xml:space="preserve">selain kesejahteraan emosional dan psikologis, yaitu </w:t>
      </w:r>
      <w:r w:rsidRPr="009C1430">
        <w:rPr>
          <w:rFonts w:ascii="Candara" w:hAnsi="Candara"/>
          <w:i/>
          <w:iCs/>
          <w:sz w:val="20"/>
          <w:szCs w:val="20"/>
        </w:rPr>
        <w:t>social well-being</w:t>
      </w:r>
      <w:r w:rsidRPr="009C1430">
        <w:rPr>
          <w:rFonts w:ascii="Candara" w:hAnsi="Candara"/>
          <w:sz w:val="20"/>
          <w:szCs w:val="20"/>
        </w:rPr>
        <w:t xml:space="preserve"> </w:t>
      </w:r>
      <w:r w:rsidRPr="009C1430">
        <w:rPr>
          <w:rFonts w:ascii="Candara" w:hAnsi="Candara"/>
          <w:sz w:val="20"/>
          <w:szCs w:val="20"/>
        </w:rPr>
        <w:fldChar w:fldCharType="begin" w:fldLock="1"/>
      </w:r>
      <w:r w:rsidR="00A265CC">
        <w:rPr>
          <w:rFonts w:ascii="Candara" w:hAnsi="Candara"/>
          <w:sz w:val="20"/>
          <w:szCs w:val="20"/>
        </w:rPr>
        <w:instrText>ADDIN CSL_CITATION {"citationItems":[{"id":"ITEM-1","itemData":{"DOI":"10.1007/s11205-007-9194-3","ISSN":"03038300","abstract":"The positive link between marriage and physical and psychological well-being is well established, but whether marriage is associated with social well-being is not. Using nationally representative data from the MIDUS study (N = 3,032), the present study examines the degree to which there are marital status differences in perceived social well-being, to what extent marital histories affect perceived social well-being, and the degree to which findings vary between social well-being and psychological well-being outcomes. We find that married persons do not have a decisive social well-being advantage over unmarried persons. However, married persons do have a significant social well-being advantage over non-married cohabitors. Additionally, marital history matters little to the perceived social well-being of our respondents. Comparisons with psychological well-being measures indicate substantial differences in the effect of marital status on individual-level well-being. © Springer Science+Business Media B.V. 2007.","author":[{"dropping-particle":"","family":"Shapiro","given":"Adam","non-dropping-particle":"","parse-names":false,"suffix":""},{"dropping-particle":"","family":"Keyes","given":"Corey Lee M.","non-dropping-particle":"","parse-names":false,"suffix":""}],"container-title":"Social Indicators Research","id":"ITEM-1","issue":"2","issued":{"date-parts":[["2008"]]},"page":"329-346","title":"Marital status and social well-being: Are the married always better off?","type":"article-journal","volume":"88"},"uris":["http://www.mendeley.com/documents/?uuid=b1657679-e56e-4873-9cc4-92b25631643f"]}],"mendeley":{"formattedCitation":"(Shapiro and Keyes 2008)","plainTextFormattedCitation":"(Shapiro and Keyes 2008)","previouslyFormattedCitation":"(Shapiro and Keyes 2008)"},"properties":{"noteIndex":0},"schema":"https://github.com/citation-style-language/schema/raw/master/csl-citation.json"}</w:instrText>
      </w:r>
      <w:r w:rsidRPr="009C1430">
        <w:rPr>
          <w:rFonts w:ascii="Candara" w:hAnsi="Candara"/>
          <w:sz w:val="20"/>
          <w:szCs w:val="20"/>
        </w:rPr>
        <w:fldChar w:fldCharType="separate"/>
      </w:r>
      <w:r w:rsidR="00AD0D51" w:rsidRPr="00AD0D51">
        <w:rPr>
          <w:rFonts w:ascii="Candara" w:hAnsi="Candara"/>
          <w:noProof/>
          <w:sz w:val="20"/>
          <w:szCs w:val="20"/>
        </w:rPr>
        <w:t>(Shapiro and Keyes 2008)</w:t>
      </w:r>
      <w:r w:rsidRPr="009C1430">
        <w:rPr>
          <w:rFonts w:ascii="Candara" w:hAnsi="Candara"/>
          <w:sz w:val="20"/>
          <w:szCs w:val="20"/>
        </w:rPr>
        <w:fldChar w:fldCharType="end"/>
      </w:r>
      <w:r w:rsidRPr="009C1430">
        <w:rPr>
          <w:rFonts w:ascii="Candara" w:hAnsi="Candara"/>
          <w:sz w:val="20"/>
          <w:szCs w:val="20"/>
        </w:rPr>
        <w:t>.</w:t>
      </w:r>
    </w:p>
    <w:p w14:paraId="0CC0A5DF" w14:textId="6FB72DF3" w:rsidR="009C1430" w:rsidRPr="009C1430" w:rsidRDefault="009C1430" w:rsidP="0005725D">
      <w:pPr>
        <w:pBdr>
          <w:top w:val="nil"/>
          <w:left w:val="nil"/>
          <w:bottom w:val="nil"/>
          <w:right w:val="nil"/>
          <w:between w:val="nil"/>
        </w:pBdr>
        <w:spacing w:after="0" w:line="240" w:lineRule="auto"/>
        <w:ind w:right="154" w:firstLine="719"/>
        <w:jc w:val="both"/>
        <w:rPr>
          <w:rFonts w:ascii="Candara" w:hAnsi="Candara"/>
          <w:sz w:val="20"/>
          <w:szCs w:val="20"/>
        </w:rPr>
      </w:pPr>
      <w:r w:rsidRPr="009C1430">
        <w:rPr>
          <w:rFonts w:ascii="Candara" w:hAnsi="Candara"/>
          <w:i/>
          <w:iCs/>
          <w:sz w:val="20"/>
          <w:szCs w:val="20"/>
        </w:rPr>
        <w:t>Social well-being</w:t>
      </w:r>
      <w:r w:rsidRPr="009C1430">
        <w:rPr>
          <w:rFonts w:ascii="Candara" w:hAnsi="Candara"/>
          <w:sz w:val="20"/>
          <w:szCs w:val="20"/>
        </w:rPr>
        <w:t xml:space="preserve"> </w:t>
      </w:r>
      <w:r w:rsidR="00D11DAD">
        <w:rPr>
          <w:rFonts w:ascii="Candara" w:hAnsi="Candara"/>
          <w:sz w:val="20"/>
          <w:szCs w:val="20"/>
        </w:rPr>
        <w:t>perlu diupayakan karena manusia secara alami memiliki dorongan untuk berhubungan dan bergantung pada orang lain untuk memenuhi kebutuhannya,</w:t>
      </w:r>
      <w:r w:rsidR="00D3216D">
        <w:rPr>
          <w:rFonts w:ascii="Candara" w:hAnsi="Candara"/>
          <w:sz w:val="20"/>
          <w:szCs w:val="20"/>
        </w:rPr>
        <w:t xml:space="preserve"> demi mencapai </w:t>
      </w:r>
      <w:r w:rsidR="00D3216D">
        <w:rPr>
          <w:rFonts w:ascii="Candara" w:hAnsi="Candara"/>
          <w:i/>
          <w:iCs/>
          <w:sz w:val="20"/>
          <w:szCs w:val="20"/>
        </w:rPr>
        <w:t xml:space="preserve">well-being </w:t>
      </w:r>
      <w:r w:rsidR="00D3216D">
        <w:rPr>
          <w:rFonts w:ascii="Candara" w:hAnsi="Candara"/>
          <w:sz w:val="20"/>
          <w:szCs w:val="20"/>
        </w:rPr>
        <w:t xml:space="preserve">dan hubungan yang saling menguntungkan </w:t>
      </w:r>
      <w:r w:rsidRPr="009C1430">
        <w:rPr>
          <w:rFonts w:ascii="Candara" w:hAnsi="Candara"/>
          <w:sz w:val="20"/>
          <w:szCs w:val="20"/>
        </w:rPr>
        <w:fldChar w:fldCharType="begin" w:fldLock="1"/>
      </w:r>
      <w:r w:rsidR="00A265CC">
        <w:rPr>
          <w:rFonts w:ascii="Candara" w:hAnsi="Candara"/>
          <w:sz w:val="20"/>
          <w:szCs w:val="20"/>
        </w:rPr>
        <w:instrText>ADDIN CSL_CITATION {"citationItems":[{"id":"ITEM-1","itemData":{"DOI":"10.1016/j.chb.2021.107144","ISSN":"07475632","abstract":"In the present study, we aimed to explore the relationship between intensity of social media use (SMU), problematic SMU and well-being outcomes. Four categories of SMU were developed taking into account both intensity of use and problematic SMU simultaneously: non-active; active; intense; and problematic use. Using these four categories, we assessed associations between SMU and mental and social well-being, and substance use. Data from 190,089 respondents aged 11, 13, and 15 years from 42 countries involved in the Health Behavior in School-aged Children (HBSC) study were analyzed. With a slight cross-national variance, 78% of adolescents in the sample were classified as active or intense users, and 7% showed signs of problematic SMU. The remaining 15% belonged to the non-active users. Three-level regression analyses revealed that the problematic users showed the least favorable mental and social well-being profile and the highest level of substance use. Compared with active users, non-active users reported lower mental and social well-being, but also the lowest substance use levels. Intense non-problematic users showed the highest levels of social well-being. Our findings highlight the importance of assessing both the intensity and problematic component of SMU to reliably assess associations with mental and social well-being and substance use.","author":[{"dropping-particle":"","family":"Boniel-Nissim","given":"Meyran","non-dropping-particle":"","parse-names":false,"suffix":""},{"dropping-particle":"","family":"Eijnden","given":"Regina J.J.M.","non-dropping-particle":"van den","parse-names":false,"suffix":""},{"dropping-particle":"","family":"Furstova","given":"Jana","non-dropping-particle":"","parse-names":false,"suffix":""},{"dropping-particle":"","family":"Marino","given":"Claudia","non-dropping-particle":"","parse-names":false,"suffix":""},{"dropping-particle":"","family":"Lahti","given":"Henri","non-dropping-particle":"","parse-names":false,"suffix":""},{"dropping-particle":"","family":"Inchley","given":"Joanna","non-dropping-particle":"","parse-names":false,"suffix":""},{"dropping-particle":"","family":"Šmigelskas","given":"Kastytis","non-dropping-particle":"","parse-names":false,"suffix":""},{"dropping-particle":"","family":"Vieno","given":"Alessio","non-dropping-particle":"","parse-names":false,"suffix":""},{"dropping-particle":"","family":"Badura","given":"Petr","non-dropping-particle":"","parse-names":false,"suffix":""}],"container-title":"Computers in Human Behavior","id":"ITEM-1","issued":{"date-parts":[["2022"]]},"page":"107144","title":"International perspectives on social media use among adolescents: Implications for mental and social well-being and substance use","type":"article-journal","volume":"129"},"uris":["http://www.mendeley.com/documents/?uuid=32d5c60f-0099-4934-b0c0-843fd3961ddc"]}],"mendeley":{"formattedCitation":"(Boniel-Nissim et al. 2022)","plainTextFormattedCitation":"(Boniel-Nissim et al. 2022)","previouslyFormattedCitation":"(Boniel-Nissim et al. 2022)"},"properties":{"noteIndex":0},"schema":"https://github.com/citation-style-language/schema/raw/master/csl-citation.json"}</w:instrText>
      </w:r>
      <w:r w:rsidRPr="009C1430">
        <w:rPr>
          <w:rFonts w:ascii="Candara" w:hAnsi="Candara"/>
          <w:sz w:val="20"/>
          <w:szCs w:val="20"/>
        </w:rPr>
        <w:fldChar w:fldCharType="separate"/>
      </w:r>
      <w:r w:rsidR="00AD0D51" w:rsidRPr="00AD0D51">
        <w:rPr>
          <w:rFonts w:ascii="Candara" w:hAnsi="Candara"/>
          <w:noProof/>
          <w:sz w:val="20"/>
          <w:szCs w:val="20"/>
        </w:rPr>
        <w:t>(Boniel-Nissim et al. 2022)</w:t>
      </w:r>
      <w:r w:rsidRPr="009C1430">
        <w:rPr>
          <w:rFonts w:ascii="Candara" w:hAnsi="Candara"/>
          <w:sz w:val="20"/>
          <w:szCs w:val="20"/>
        </w:rPr>
        <w:fldChar w:fldCharType="end"/>
      </w:r>
      <w:r w:rsidRPr="009C1430">
        <w:rPr>
          <w:rFonts w:ascii="Candara" w:hAnsi="Candara"/>
          <w:sz w:val="20"/>
          <w:szCs w:val="20"/>
        </w:rPr>
        <w:t xml:space="preserve">. Menurut Mohebi et al </w:t>
      </w:r>
      <w:r w:rsidRPr="009C1430">
        <w:rPr>
          <w:rFonts w:ascii="Candara" w:hAnsi="Candara"/>
          <w:sz w:val="20"/>
          <w:szCs w:val="20"/>
        </w:rPr>
        <w:fldChar w:fldCharType="begin" w:fldLock="1"/>
      </w:r>
      <w:r w:rsidRPr="009C1430">
        <w:rPr>
          <w:rFonts w:ascii="Candara" w:hAnsi="Candara"/>
          <w:sz w:val="20"/>
          <w:szCs w:val="20"/>
        </w:rPr>
        <w:instrText>ADDIN CSL_CITATION {"citationItems":[{"id":"ITEM-1","itemData":{"DOI":"10.4103/jehp.jehp","abstract":"Abstract: Postpartum depression is a debilitating mental disorder with a high prevalence. The aim of this study was review of the related studies. In this narrative review, we report studies that investigated risk factors of postpartum depression by searching the database, Scopus, PubMed, ScienceDirect, Uptodate, Proquest in the period 2000</w:instrText>
      </w:r>
      <w:r w:rsidRPr="009C1430">
        <w:rPr>
          <w:rFonts w:ascii="Cambria Math" w:hAnsi="Cambria Math" w:cs="Cambria Math"/>
          <w:sz w:val="20"/>
          <w:szCs w:val="20"/>
        </w:rPr>
        <w:instrText>‑</w:instrText>
      </w:r>
      <w:r w:rsidRPr="009C1430">
        <w:rPr>
          <w:rFonts w:ascii="Candara" w:hAnsi="Candara"/>
          <w:sz w:val="20"/>
          <w:szCs w:val="20"/>
        </w:rPr>
        <w:instrText>2015 published articles about the factors associated with postpartum depression were assessed in Farsi and English. The search strategy included a combination of keywords include postpartum depression and risk factors or obstetrical history, social factors, or biological factors. Literature review showed that risk factors for postpartum depression in the area of economic and social factors, obstetrical history, and biological factors, lifestyle and history of mental illness detected. Data from this study can use for designing a screening tools for high</w:instrText>
      </w:r>
      <w:r w:rsidRPr="009C1430">
        <w:rPr>
          <w:rFonts w:ascii="Cambria Math" w:hAnsi="Cambria Math" w:cs="Cambria Math"/>
          <w:sz w:val="20"/>
          <w:szCs w:val="20"/>
        </w:rPr>
        <w:instrText>‑</w:instrText>
      </w:r>
      <w:r w:rsidRPr="009C1430">
        <w:rPr>
          <w:rFonts w:ascii="Candara" w:hAnsi="Candara"/>
          <w:sz w:val="20"/>
          <w:szCs w:val="20"/>
        </w:rPr>
        <w:instrText xml:space="preserve">risk pregnant women and for designing a prevention programs.","author":[{"dropping-particle":"","family":"Mohebi","given":"Siamak","non-dropping-particle":"","parse-names":false,"suffix":""},{"dropping-particle":"","family":"Parham","given":"Mahmoud","non-dropping-particle":"","parse-names":false,"suffix":""},{"dropping-particle":"","family":"Sharifirad","given":"Gholamreza","non-dropping-particle":"","parse-names":false,"suffix":""},{"dropping-particle":"","family":"Gharlipour","given":"Zabihollah","non-dropping-particle":"","parse-names":false,"suffix":""}],"id":"ITEM-1","issue":"January","issued":{"date-parts":[["2018"]]},"page":"1-6","title":"Social Support and Self </w:instrText>
      </w:r>
      <w:r w:rsidRPr="009C1430">
        <w:rPr>
          <w:rFonts w:ascii="Cambria Math" w:hAnsi="Cambria Math" w:cs="Cambria Math"/>
          <w:sz w:val="20"/>
          <w:szCs w:val="20"/>
        </w:rPr>
        <w:instrText>‑</w:instrText>
      </w:r>
      <w:r w:rsidRPr="009C1430">
        <w:rPr>
          <w:rFonts w:ascii="Candara" w:hAnsi="Candara"/>
          <w:sz w:val="20"/>
          <w:szCs w:val="20"/>
        </w:rPr>
        <w:instrText xml:space="preserve"> Care Behavior Study","type":"article-journal"},"suppress-author":1,"uris":["http://www.mendeley.com/documents/?uuid=0cbf1f79-69b5-4dca-bc1e-0c9f5bb1c5c9"]}],"mendeley":{"formattedCitation":"(2018)","plainTextFormattedCitation":"(2018)","previouslyFormattedCitation":"(2018)"},"properties":{"noteIndex":0},"schema":"https://github.com/citation-style-language/schema/raw/master/csl-citation.json"}</w:instrText>
      </w:r>
      <w:r w:rsidRPr="009C1430">
        <w:rPr>
          <w:rFonts w:ascii="Candara" w:hAnsi="Candara"/>
          <w:sz w:val="20"/>
          <w:szCs w:val="20"/>
        </w:rPr>
        <w:fldChar w:fldCharType="separate"/>
      </w:r>
      <w:r w:rsidRPr="009C1430">
        <w:rPr>
          <w:rFonts w:ascii="Candara" w:hAnsi="Candara"/>
          <w:noProof/>
          <w:sz w:val="20"/>
          <w:szCs w:val="20"/>
        </w:rPr>
        <w:t>(2018)</w:t>
      </w:r>
      <w:r w:rsidRPr="009C1430">
        <w:rPr>
          <w:rFonts w:ascii="Candara" w:hAnsi="Candara"/>
          <w:sz w:val="20"/>
          <w:szCs w:val="20"/>
        </w:rPr>
        <w:fldChar w:fldCharType="end"/>
      </w:r>
      <w:r w:rsidRPr="009C1430">
        <w:rPr>
          <w:rFonts w:ascii="Candara" w:hAnsi="Candara"/>
          <w:sz w:val="20"/>
          <w:szCs w:val="20"/>
        </w:rPr>
        <w:t xml:space="preserve"> </w:t>
      </w:r>
      <w:r w:rsidRPr="009C1430">
        <w:rPr>
          <w:rFonts w:ascii="Candara" w:hAnsi="Candara"/>
          <w:i/>
          <w:iCs/>
          <w:sz w:val="20"/>
          <w:szCs w:val="20"/>
        </w:rPr>
        <w:t>social well-being</w:t>
      </w:r>
      <w:r w:rsidRPr="009C1430">
        <w:rPr>
          <w:rFonts w:ascii="Candara" w:hAnsi="Candara"/>
          <w:sz w:val="20"/>
          <w:szCs w:val="20"/>
        </w:rPr>
        <w:t xml:space="preserve"> ialah kemampuan untuk menjalankan peran sosial secara efektif serta mengenali cara individu dapat berfungsi dalam masyarakat juga kualitas hubungan dengan orang lain. Berdasarkan beberapa penelitian ditemukan terkait rendahnya </w:t>
      </w:r>
      <w:r w:rsidRPr="009C1430">
        <w:rPr>
          <w:rFonts w:ascii="Candara" w:hAnsi="Candara"/>
          <w:i/>
          <w:iCs/>
          <w:sz w:val="20"/>
          <w:szCs w:val="20"/>
        </w:rPr>
        <w:t>social well-being</w:t>
      </w:r>
      <w:r w:rsidRPr="009C1430">
        <w:rPr>
          <w:rFonts w:ascii="Candara" w:hAnsi="Candara"/>
          <w:sz w:val="20"/>
          <w:szCs w:val="20"/>
        </w:rPr>
        <w:t xml:space="preserve"> pada remaja disebabkan oleh kemajuan serta perkembangan teknologi. Hal ini terlihat dari semakin merosotnya nilai perilaku kepedulian sosial pada remaja sehingga berkurangnya interaksi serta rasa tidak membutuhkan orang lain dan kesepian akibat pengaruh </w:t>
      </w:r>
      <w:r w:rsidRPr="009C1430">
        <w:rPr>
          <w:rFonts w:ascii="Candara" w:hAnsi="Candara"/>
          <w:i/>
          <w:iCs/>
          <w:sz w:val="20"/>
          <w:szCs w:val="20"/>
        </w:rPr>
        <w:t>gadget</w:t>
      </w:r>
      <w:r w:rsidRPr="009C1430">
        <w:rPr>
          <w:rFonts w:ascii="Candara" w:hAnsi="Candara"/>
          <w:sz w:val="20"/>
          <w:szCs w:val="20"/>
        </w:rPr>
        <w:t xml:space="preserve"> </w:t>
      </w:r>
      <w:r w:rsidRPr="009C1430">
        <w:rPr>
          <w:rFonts w:ascii="Candara" w:hAnsi="Candara"/>
          <w:sz w:val="20"/>
          <w:szCs w:val="20"/>
        </w:rPr>
        <w:fldChar w:fldCharType="begin" w:fldLock="1"/>
      </w:r>
      <w:r w:rsidR="00A265CC">
        <w:rPr>
          <w:rFonts w:ascii="Candara" w:hAnsi="Candara"/>
          <w:sz w:val="20"/>
          <w:szCs w:val="20"/>
        </w:rPr>
        <w:instrText>ADDIN CSL_CITATION {"citationItems":[{"id":"ITEM-1","itemData":{"ISBN":"9789792128451","abstract":"Abstrak Kuliah Kerja Nyata (KKN) Pembelajaran dan Pemberdayaan Masyarakat (PPM) POSDAYA (Pos Pemberdayaan Keluarga) merupakan bentuk aplikatif dari Tri Dharma Perguruan Tinggi, sebagai usaha menumbuhkembangkan kesadaran masyarakat untuk memberdayakan diri. Persentuhan langsung antara mahasiswa dan masyarakat membutuhkan keyakinan pada penyelesaian tugas, pengenalan diri dan orang lain oleh mahasiswa, secara obyektif-proporsional. Penelitian dikembangkan untuk mengetahui peran kemampuan empati pada efikasi diri mahasiswa peserta KKN PPM POSDAYA. Subjek penelitian berjumlah 134 orang mahasiswa. Pengumpulan data menggunakan dua skala psikologi, Skala Kemampuan Empati dengan reliabilitas (α) sebesar 0,8948, dan Skala Efikasi Diri dengan reliabilitas (α) sebesar 0,9255. Hasil analisis data menunjukkan koefisien korelasi r xy = 0,684 dengan p = 0,000 (p &lt; 0,05). Terdapat hubungan positif yang signifikan antara kemampuan empati dengan efikasi diri pada mahasiswa peserta KKN PPM POSDAYA. Artinya, semakin tinggi kemampuan empati mahasiswa peserta KKN, semakin tinggi pula keyakinan dirinya. Koefisien Determinasi (R 2) sebesar 0,468 menunjukkan bahwa kemampuan empati memberikan sumbangan efektif sebesar 46,8 % pada keyakinan diri mahasiswa peserta KKN PPM POSDAYA. Kemampuan empati membuat mahasiswa menjadi lebih dapat melihat dirinya sendiri, lebih menyadari dan memperhatikan peran dan sudut pandang orang lain mengenai suatu masalah. Terbentuknya hubungan sosial berkualitas yang tercipta dari kemampuan mengambil perspektif, memungkinkan individu untuk berkreasi dan mengembangkan pengakuan eksistensi dan pemahaman diri secara sehat. Keyakinan diri mahasiswa menjadi kuat dalam melaksanakan tugas-tugas dalam KKN PPM POSDAYA sebagai wadah penguatan fungsi-fungsi keluarga secara terpadu. Kata kunci : kemampuan empati, efikasi diri, mahasiswa, KKN PPM POSDAYA","author":[{"dropping-particle":"","family":"Setyawan","given":"Imam","non-dropping-particle":"","parse-names":false,"suffix":""}],"container-title":"Proceeding Konferensi Nasional II Ikatan Psikologi Klinis – Himpsi","id":"ITEM-1","issued":{"date-parts":[["2010"]]},"page":"296-300","title":"Peran Kemampuan Empati Pada Efikasi Diri Mahasiswa Peserta Kuliah Kerja Nyata PPM POSDAYA","type":"article-journal"},"uris":["http://www.mendeley.com/documents/?uuid=456ec829-c301-4519-ace9-679532e75122"]}],"mendeley":{"formattedCitation":"(Setyawan 2010)","manualFormatting":"(Nisa, 2019; Garvin, 2028;Nazlinda, 2015;Setyawan, 2010)","plainTextFormattedCitation":"(Setyawan 2010)","previouslyFormattedCitation":"(Setyawan 2010)"},"properties":{"noteIndex":0},"schema":"https://github.com/citation-style-language/schema/raw/master/csl-citation.json"}</w:instrText>
      </w:r>
      <w:r w:rsidRPr="009C1430">
        <w:rPr>
          <w:rFonts w:ascii="Candara" w:hAnsi="Candara"/>
          <w:sz w:val="20"/>
          <w:szCs w:val="20"/>
        </w:rPr>
        <w:fldChar w:fldCharType="separate"/>
      </w:r>
      <w:r w:rsidRPr="009C1430">
        <w:rPr>
          <w:rFonts w:ascii="Candara" w:hAnsi="Candara"/>
          <w:noProof/>
          <w:sz w:val="20"/>
          <w:szCs w:val="20"/>
        </w:rPr>
        <w:t>(Nisa, 2019; Garvin, 2028;Nazlinda, 2015;Setyawan, 2010)</w:t>
      </w:r>
      <w:r w:rsidRPr="009C1430">
        <w:rPr>
          <w:rFonts w:ascii="Candara" w:hAnsi="Candara"/>
          <w:sz w:val="20"/>
          <w:szCs w:val="20"/>
        </w:rPr>
        <w:fldChar w:fldCharType="end"/>
      </w:r>
      <w:r w:rsidRPr="009C1430">
        <w:rPr>
          <w:rFonts w:ascii="Candara" w:hAnsi="Candara"/>
          <w:sz w:val="20"/>
          <w:szCs w:val="20"/>
        </w:rPr>
        <w:t xml:space="preserve">. Akibatnya remaja dengan kecanduan </w:t>
      </w:r>
      <w:r w:rsidRPr="009C1430">
        <w:rPr>
          <w:rFonts w:ascii="Candara" w:hAnsi="Candara"/>
          <w:i/>
          <w:iCs/>
          <w:sz w:val="20"/>
          <w:szCs w:val="20"/>
        </w:rPr>
        <w:t xml:space="preserve">gadget </w:t>
      </w:r>
      <w:r w:rsidRPr="009C1430">
        <w:rPr>
          <w:rFonts w:ascii="Candara" w:hAnsi="Candara"/>
          <w:sz w:val="20"/>
          <w:szCs w:val="20"/>
        </w:rPr>
        <w:t xml:space="preserve">lebih bersikap </w:t>
      </w:r>
      <w:r w:rsidRPr="009C1430">
        <w:rPr>
          <w:rFonts w:ascii="Candara" w:hAnsi="Candara"/>
          <w:i/>
          <w:iCs/>
          <w:sz w:val="20"/>
          <w:szCs w:val="20"/>
        </w:rPr>
        <w:t>individualis</w:t>
      </w:r>
      <w:r w:rsidRPr="009C1430">
        <w:rPr>
          <w:rFonts w:ascii="Candara" w:hAnsi="Candara"/>
          <w:sz w:val="20"/>
          <w:szCs w:val="20"/>
        </w:rPr>
        <w:t xml:space="preserve">, antisosial, suka menyendiri dan lebih fokus pada teknologi di tangan dari pada berinteraksi dengan orang disekitarnya </w:t>
      </w:r>
      <w:r w:rsidRPr="009C1430">
        <w:rPr>
          <w:rFonts w:ascii="Candara" w:hAnsi="Candara"/>
          <w:sz w:val="20"/>
          <w:szCs w:val="20"/>
        </w:rPr>
        <w:fldChar w:fldCharType="begin" w:fldLock="1"/>
      </w:r>
      <w:r w:rsidR="00A265CC">
        <w:rPr>
          <w:rFonts w:ascii="Candara" w:hAnsi="Candara"/>
          <w:sz w:val="20"/>
          <w:szCs w:val="20"/>
        </w:rPr>
        <w:instrText>ADDIN CSL_CITATION {"citationItems":[{"id":"ITEM-1","itemData":{"DOI":"10.33373/kop.v5i2.1521","ISSN":"2442-4323","abstract":"Tujuan artikel ini adalah untuk mengkaji tentang pengaruh gadget dalam kehidupan manusia. Kehadiran gadget terutama dalam bentuk smartphone telah banyak memberikan kontribusi dalam kehidupan sehari-hari, gadget sebagai media pencarian informasi, melakukan interaksi, mendapatkan hiburan, bahkan hingga untuk keperluan kegiatan berbisnis secara online. Perkembangan teknologi informasi dan komunikasi dewasa ini sangat dirasakan manfaatnya oleh masyarakat. Gadget adalah salah satu produk dari teknologi ini yang telah mengubah perilaku komunikasi manusia dengan menembus ruang dan waktu. Orang yang berjarak ribuan kilometer bisa saling berkomunikasi sambil saling menatap lawan bicaranya di dan hanya dengan menggunakan media gadget. Gadget adalah sebuah alat elektronik kecil yang memiliki fungsi khusus, seperti telepon pintar. Sebuah teknologi yang pada hakikatnya diciptakan untuk membuat hidup manusia menjadi semakin mudah dan nyaman. Akan tetapi kemajuan teknologi yang semakin pesat saat ini membuat hampir tidak ada bidang kehidupan manusia yang bebas dari penggunaannya, baik secara langsung maupun tidak langsung. Seiring arus globalisasi dengan tuntutan kebutuhan pertukaran informasi yang cepat, peranan teknologi komunikasi menjadi sangat penting. Sehingga membuat para pengguna tidak terkendali dalam hal pemakaian suatu teknologi tersebut.","author":[{"dropping-particle":"","family":"Marpaung","given":"Junierissa","non-dropping-particle":"","parse-names":false,"suffix":""}],"container-title":"KOPASTA: Jurnal Program Studi Bimbingan Konseling","id":"ITEM-1","issue":"2","issued":{"date-parts":[["2018"]]},"page":"55-64","title":"Pengaruh Penggunaan Gadget Dalam Kehidupan","type":"article-journal","volume":"5"},"uris":["http://www.mendeley.com/documents/?uuid=b65269ba-86c0-40e5-b20a-0e9dfa7048a9"]},{"id":"ITEM-2","itemData":{"DOI":"10.31851/juang.v4i1.5153","ISSN":"2622-9080","abstract":"Penelitian ini dilatar belakangi karena adanya siswa yang tidak fokus pada saat jam pelajaran berlangsung, siswa lebih tertarik untuk menggunakan gadget (smartphone) mereka. Hal ini terjadi karena kurangnya pemahamaman penggunaan gadget secara bijak oleh siswa sehingga menyebabkan konsentrasi belajar pada siswa menjadi terbagi pada gadget (smartphone) yang sedang mereka gunakan. Tujuanadari Penelitian iniauntuk mengetahuiaapakahaadaapengaruhapenggunaan gadgetaterhadap konsentrasiabelajarasiswa di SMA Negeri 6 Prabumulih. Penelitian ini dilakukan dengan menggunakan metode survei dengan pendekatan kuantitatif, data yang didapatkan berasal dari angket yang disebarkan kepada responden (siswa) kelas XI IPA 1 dan siswa kelas XI IPS 1 dengan jumlah sampel 42 orang siswa dengan pengambilan sampel menggunakan rumus Slovin dan pengambilan jumlah sampel setiap kelas menggunakan rumus Propotional Random Sampling. Hasil dari penelitian ini menjelaskan bahwa ada pengaruh penggunaan gadget terhadap konsentrasi belajar siswa di SMA Negeri 6 Prabumulih dengan Â thitung= 8,63 &gt; ttabel= 1,68385 dengan koefisien determinasi pengaruh penggunaan gadget terhadap konsentrasi belajar sebesar 67% dan 33% sisanya dipengaruhi oleh faktor lain yang tidak diteliti oleh peneliti dalam penelitian ini.","author":[{"dropping-particle":"","family":"Adelia","given":"Tia","non-dropping-particle":"","parse-names":false,"suffix":""},{"dropping-particle":"","family":"Fauzi","given":"Taty","non-dropping-particle":"","parse-names":false,"suffix":""},{"dropping-particle":"","family":"Arizona","given":"Arizona","non-dropping-particle":"","parse-names":false,"suffix":""}],"container-title":"Jurnal Wahana Konseling","id":"ITEM-2","issue":"1","issued":{"date-parts":[["2021"]]},"page":"35-45","title":"Pengaruh Penggunaan Gadget Terhadap Konsentrasi Belajar Siswa di SMA Negeri 6 Prabumulih","type":"article-journal","volume":"4"},"uris":["http://www.mendeley.com/documents/?uuid=848e6cd6-5ecb-4d32-96a0-8e6a5c7636b0"]}],"mendeley":{"formattedCitation":"(Adelia, Fauzi, and Arizona 2021; Marpaung 2018)","plainTextFormattedCitation":"(Adelia, Fauzi, and Arizona 2021; Marpaung 2018)","previouslyFormattedCitation":"(Adelia, Fauzi, and Arizona 2021; Marpaung 2018)"},"properties":{"noteIndex":0},"schema":"https://github.com/citation-style-language/schema/raw/master/csl-citation.json"}</w:instrText>
      </w:r>
      <w:r w:rsidRPr="009C1430">
        <w:rPr>
          <w:rFonts w:ascii="Candara" w:hAnsi="Candara"/>
          <w:sz w:val="20"/>
          <w:szCs w:val="20"/>
        </w:rPr>
        <w:fldChar w:fldCharType="separate"/>
      </w:r>
      <w:r w:rsidR="00AD0D51" w:rsidRPr="00AD0D51">
        <w:rPr>
          <w:rFonts w:ascii="Candara" w:hAnsi="Candara"/>
          <w:noProof/>
          <w:sz w:val="20"/>
          <w:szCs w:val="20"/>
        </w:rPr>
        <w:t>(Adelia, Fauzi, and Arizona 2021; Marpaung 2018)</w:t>
      </w:r>
      <w:r w:rsidRPr="009C1430">
        <w:rPr>
          <w:rFonts w:ascii="Candara" w:hAnsi="Candara"/>
          <w:sz w:val="20"/>
          <w:szCs w:val="20"/>
        </w:rPr>
        <w:fldChar w:fldCharType="end"/>
      </w:r>
      <w:r w:rsidRPr="009C1430">
        <w:rPr>
          <w:rFonts w:ascii="Candara" w:hAnsi="Candara"/>
          <w:sz w:val="20"/>
          <w:szCs w:val="20"/>
        </w:rPr>
        <w:t xml:space="preserve">. Tak hanya itu, penyebab remaja memiliki </w:t>
      </w:r>
      <w:r w:rsidRPr="009C1430">
        <w:rPr>
          <w:rFonts w:ascii="Candara" w:hAnsi="Candara"/>
          <w:i/>
          <w:iCs/>
          <w:sz w:val="20"/>
          <w:szCs w:val="20"/>
        </w:rPr>
        <w:t>social well-being</w:t>
      </w:r>
      <w:r w:rsidRPr="009C1430">
        <w:rPr>
          <w:rFonts w:ascii="Candara" w:hAnsi="Candara"/>
          <w:sz w:val="20"/>
          <w:szCs w:val="20"/>
        </w:rPr>
        <w:t xml:space="preserve"> rendah karena mengalami perundungan </w:t>
      </w:r>
      <w:r w:rsidRPr="009C1430">
        <w:rPr>
          <w:rFonts w:ascii="Candara" w:hAnsi="Candara"/>
          <w:sz w:val="20"/>
          <w:szCs w:val="20"/>
        </w:rPr>
        <w:fldChar w:fldCharType="begin" w:fldLock="1"/>
      </w:r>
      <w:r w:rsidR="00A265CC">
        <w:rPr>
          <w:rFonts w:ascii="Candara" w:hAnsi="Candara"/>
          <w:sz w:val="20"/>
          <w:szCs w:val="20"/>
        </w:rPr>
        <w:instrText>ADDIN CSL_CITATION {"citationItems":[{"id":"ITEM-1","itemData":{"DOI":"10.1016/j.adolescence.2016.12.012","ISSN":"10959254","PMID":"28081521","abstract":"Since Dan Olweus's seminal work on bullying in the 1970's (Olweus, 1978), there has been a concerted effort by investigators to identify the confluence of factors that contribute to peer victimization and its role in psychosocial development. Although the cause and consequences of peer victimization may include underlying, age-invariant processes, the manifestation of these factors is, in part, driven by the developmental stage being studied. Thus, a comprehensive understanding of peer victimization requires an explicit developmental perspective. This paper examines how peer victimization in adolescence is unique from other developmental periods. Changes in the nature of peer victimization, associated risk factors, the contexts in which victimization is experienced, and the psychosocial outcomes affected are addressed. A primary focus is how maturational processes and interpersonal contexts characteristic of adolescence contribute to changes in victimization, with the objective of informing future research directions and the development of effective interventions.","author":[{"dropping-particle":"","family":"Troop-Gordon","given":"Wendy","non-dropping-particle":"","parse-names":false,"suffix":""}],"container-title":"Journal of Adolescence","id":"ITEM-1","issued":{"date-parts":[["2017"]]},"page":"116-128","publisher":"Elsevier Ltd","title":"Peer victimization in adolescence: The nature, progression, and consequences of being bullied within a developmental context","type":"article-journal","volume":"55"},"uris":["http://www.mendeley.com/documents/?uuid=6b1eed9a-fa3a-4343-ad69-a210df1f862b"]}],"mendeley":{"formattedCitation":"(Troop-Gordon 2017)","plainTextFormattedCitation":"(Troop-Gordon 2017)","previouslyFormattedCitation":"(Troop-Gordon 2017)"},"properties":{"noteIndex":0},"schema":"https://github.com/citation-style-language/schema/raw/master/csl-citation.json"}</w:instrText>
      </w:r>
      <w:r w:rsidRPr="009C1430">
        <w:rPr>
          <w:rFonts w:ascii="Candara" w:hAnsi="Candara"/>
          <w:sz w:val="20"/>
          <w:szCs w:val="20"/>
        </w:rPr>
        <w:fldChar w:fldCharType="separate"/>
      </w:r>
      <w:r w:rsidR="00AD0D51" w:rsidRPr="00AD0D51">
        <w:rPr>
          <w:rFonts w:ascii="Candara" w:hAnsi="Candara"/>
          <w:noProof/>
          <w:sz w:val="20"/>
          <w:szCs w:val="20"/>
        </w:rPr>
        <w:t>(Troop-Gordon 2017)</w:t>
      </w:r>
      <w:r w:rsidRPr="009C1430">
        <w:rPr>
          <w:rFonts w:ascii="Candara" w:hAnsi="Candara"/>
          <w:sz w:val="20"/>
          <w:szCs w:val="20"/>
        </w:rPr>
        <w:fldChar w:fldCharType="end"/>
      </w:r>
      <w:r w:rsidRPr="009C1430">
        <w:rPr>
          <w:rFonts w:ascii="Candara" w:hAnsi="Candara"/>
          <w:sz w:val="20"/>
          <w:szCs w:val="20"/>
        </w:rPr>
        <w:t xml:space="preserve">, tekanan teman sebaya </w:t>
      </w:r>
      <w:r w:rsidRPr="009C1430">
        <w:rPr>
          <w:rFonts w:ascii="Candara" w:hAnsi="Candara"/>
          <w:sz w:val="20"/>
          <w:szCs w:val="20"/>
        </w:rPr>
        <w:fldChar w:fldCharType="begin" w:fldLock="1"/>
      </w:r>
      <w:r w:rsidR="00A265CC">
        <w:rPr>
          <w:rFonts w:ascii="Candara" w:hAnsi="Candara"/>
          <w:sz w:val="20"/>
          <w:szCs w:val="20"/>
        </w:rPr>
        <w:instrText>ADDIN CSL_CITATION {"citationItems":[{"id":"ITEM-1","itemData":{"DOI":"10.14689/ejer.2014.54.4","ISSN":"1302597X","abstract":"Problem Statement: Aggression is defined as any kind of behavior intended to hurt others. Aggression generally arises due to the interaction between individual (e.g., social and emotional difficulties, low self-esteem, peer rejection, academic failure) and environmental (e.g., poverty, lack of family supervision, limited social support, conflicts within the family) characteristics. Identifying the factors which cause aggressiveness in adolescents is vital to finding precautions against it. Purpose of Study: The purpose of this study was to examine the effects of peer pressure, automatic thoughts and self-esteem variables on the aggression levels of male and female adolescents. Methods: This is a relational and quantitative research aimed to examine the effects of peer pressure, automatic thoughts and self-esteem variables on the prediction of adolescents' aggression levels. The study sample consisted of 411 volunteer students who were chosen through random sampling from a total of 720 9th grade students from various high schools in Antalya, Turkey. Participants completed the Aggression Questionnaire, Peer Pressure Scale, Automatic Thoughts Scale and Self-Esteem Scale in their classrooms during counseling sessions. Data were analyzed using hierarchical multiple regression analysis. Findings and Results: In the hierarchical multiple regression analysis for female and male adolescents, it was found that peer pressure and automatic thoughts were effective predictors in explaining adolescents' aggression levels. Furthermore, it was found that automatic thoughts fully mediated the relationship between self-esteem and aggression for both male and the female adolescents. Conclusions and Recommendations: It was found that peer pressure and automatic thoughts have a significant effect on adolescent aggression. In works related to the prevention of aggression, it is vital to teach adolescents how to cope with peer pressure and how to say \"no\". On the basis of these results, we recommend that schools implement workshops to educate adolescents in aggression and violence prevention. In addition, we recommend using cognitive-behavioral techniques to raise adolescents' awareness of nonfunctioning and aggression-triggering automatic thoughts in order that they may modify these thought patterns. © 2014 ANI Publishing.","author":[{"dropping-particle":"","family":"Yavuzer","given":"Yasemin","non-dropping-particle":"","parse-names":false,"suffix":""},{"dropping-particle":"","family":"Karatas","given":"Zeynep","non-dropping-particle":"","parse-names":false,"suffix":""},{"dropping-particle":"","family":"Civilidag","given":"Aydin","non-dropping-particle":"","parse-names":false,"suffix":""},{"dropping-particle":"","family":"Gundogdu","given":"Rezzan","non-dropping-particle":"","parse-names":false,"suffix":""}],"container-title":"Eurasian Journal of Educational Research","id":"ITEM-1","issue":"54","issued":{"date-parts":[["2014"]]},"page":"61-78","title":"The Role of Peer Pressure, Automatic Thoughts and Self-Esteem on Adolescent Aggression","type":"article-journal"},"uris":["http://www.mendeley.com/documents/?uuid=50792557-3f5e-4e8f-95b6-32cbd97f81f2"]}],"mendeley":{"formattedCitation":"(Yavuzer et al. 2014)","plainTextFormattedCitation":"(Yavuzer et al. 2014)","previouslyFormattedCitation":"(Yavuzer et al. 2014)"},"properties":{"noteIndex":0},"schema":"https://github.com/citation-style-language/schema/raw/master/csl-citation.json"}</w:instrText>
      </w:r>
      <w:r w:rsidRPr="009C1430">
        <w:rPr>
          <w:rFonts w:ascii="Candara" w:hAnsi="Candara"/>
          <w:sz w:val="20"/>
          <w:szCs w:val="20"/>
        </w:rPr>
        <w:fldChar w:fldCharType="separate"/>
      </w:r>
      <w:r w:rsidR="00AD0D51" w:rsidRPr="00AD0D51">
        <w:rPr>
          <w:rFonts w:ascii="Candara" w:hAnsi="Candara"/>
          <w:noProof/>
          <w:sz w:val="20"/>
          <w:szCs w:val="20"/>
        </w:rPr>
        <w:t>(Yavuzer et al. 2014)</w:t>
      </w:r>
      <w:r w:rsidRPr="009C1430">
        <w:rPr>
          <w:rFonts w:ascii="Candara" w:hAnsi="Candara"/>
          <w:sz w:val="20"/>
          <w:szCs w:val="20"/>
        </w:rPr>
        <w:fldChar w:fldCharType="end"/>
      </w:r>
      <w:r w:rsidRPr="009C1430">
        <w:rPr>
          <w:rFonts w:ascii="Candara" w:hAnsi="Candara"/>
          <w:sz w:val="20"/>
          <w:szCs w:val="20"/>
        </w:rPr>
        <w:t xml:space="preserve">, dan tekanan akademik </w:t>
      </w:r>
      <w:r w:rsidRPr="009C1430">
        <w:rPr>
          <w:rFonts w:ascii="Candara" w:hAnsi="Candara"/>
          <w:sz w:val="20"/>
          <w:szCs w:val="20"/>
        </w:rPr>
        <w:fldChar w:fldCharType="begin" w:fldLock="1"/>
      </w:r>
      <w:r w:rsidR="00A265CC">
        <w:rPr>
          <w:rFonts w:ascii="Candara" w:hAnsi="Candara"/>
          <w:sz w:val="20"/>
          <w:szCs w:val="20"/>
        </w:rPr>
        <w:instrText>ADDIN CSL_CITATION {"citationItems":[{"id":"ITEM-1","itemData":{"DOI":"10.13189/ujer.2017.051010","ISSN":"2332-3205","abstract":"The objective of study is the underlying to relationship between emotional self-efficacy and educational stress with a structural equation model. The research was conducted on 232 secondary school students. Emotional self-efficacy scale and educational stress scale were used in the study. It was found that there was a negative correlation between emotional self-efficacy and educational stress. Findings obtained from the structural equation model; educational stress were negatively predicted by emotional self-efficacy. The fit index obtained from the structural equation model show that the model fits well. Findings are discussed depending on the literature.","author":[{"dropping-particle":"","family":"Arslan","given":"Nihan","non-dropping-particle":"","parse-names":false,"suffix":""}],"container-title":"Universal Journal of Educational Research","id":"ITEM-1","issue":"10","issued":{"date-parts":[["2017"]]},"page":"1736-1740","title":"Investigating the Relationship between Educational Stress and Emotional Self-Efficacy","type":"article-journal","volume":"5"},"uris":["http://www.mendeley.com/documents/?uuid=485d975b-d625-4971-9dbe-ad9076dd642e"]}],"mendeley":{"formattedCitation":"(Arslan 2017)","plainTextFormattedCitation":"(Arslan 2017)","previouslyFormattedCitation":"(Arslan 2017)"},"properties":{"noteIndex":0},"schema":"https://github.com/citation-style-language/schema/raw/master/csl-citation.json"}</w:instrText>
      </w:r>
      <w:r w:rsidRPr="009C1430">
        <w:rPr>
          <w:rFonts w:ascii="Candara" w:hAnsi="Candara"/>
          <w:sz w:val="20"/>
          <w:szCs w:val="20"/>
        </w:rPr>
        <w:fldChar w:fldCharType="separate"/>
      </w:r>
      <w:r w:rsidR="00AD0D51" w:rsidRPr="00AD0D51">
        <w:rPr>
          <w:rFonts w:ascii="Candara" w:hAnsi="Candara"/>
          <w:noProof/>
          <w:sz w:val="20"/>
          <w:szCs w:val="20"/>
        </w:rPr>
        <w:t>(Arslan 2017)</w:t>
      </w:r>
      <w:r w:rsidRPr="009C1430">
        <w:rPr>
          <w:rFonts w:ascii="Candara" w:hAnsi="Candara"/>
          <w:sz w:val="20"/>
          <w:szCs w:val="20"/>
        </w:rPr>
        <w:fldChar w:fldCharType="end"/>
      </w:r>
      <w:r w:rsidRPr="009C1430">
        <w:rPr>
          <w:rFonts w:ascii="Candara" w:hAnsi="Candara"/>
          <w:sz w:val="20"/>
          <w:szCs w:val="20"/>
        </w:rPr>
        <w:t>.</w:t>
      </w:r>
    </w:p>
    <w:p w14:paraId="55A814CE" w14:textId="7EA7299C" w:rsidR="009C1430" w:rsidRPr="009C1430" w:rsidRDefault="009C1430" w:rsidP="0005725D">
      <w:pPr>
        <w:pBdr>
          <w:top w:val="nil"/>
          <w:left w:val="nil"/>
          <w:bottom w:val="nil"/>
          <w:right w:val="nil"/>
          <w:between w:val="nil"/>
        </w:pBdr>
        <w:spacing w:after="0" w:line="240" w:lineRule="auto"/>
        <w:ind w:right="154" w:firstLine="719"/>
        <w:jc w:val="both"/>
        <w:rPr>
          <w:rFonts w:ascii="Candara" w:hAnsi="Candara"/>
          <w:sz w:val="20"/>
          <w:szCs w:val="20"/>
        </w:rPr>
      </w:pPr>
      <w:r w:rsidRPr="009C1430">
        <w:rPr>
          <w:rFonts w:ascii="Candara" w:hAnsi="Candara"/>
          <w:sz w:val="20"/>
          <w:szCs w:val="20"/>
        </w:rPr>
        <w:t xml:space="preserve">Namun, beberapa fenomena diatas menunjukkan </w:t>
      </w:r>
      <w:r w:rsidRPr="009C1430">
        <w:rPr>
          <w:rFonts w:ascii="Candara" w:hAnsi="Candara"/>
          <w:i/>
          <w:iCs/>
          <w:sz w:val="20"/>
          <w:szCs w:val="20"/>
        </w:rPr>
        <w:t xml:space="preserve">social well-being </w:t>
      </w:r>
      <w:r w:rsidRPr="009C1430">
        <w:rPr>
          <w:rFonts w:ascii="Candara" w:hAnsi="Candara"/>
          <w:sz w:val="20"/>
          <w:szCs w:val="20"/>
        </w:rPr>
        <w:t xml:space="preserve">yang rendah sehingga menimbulkan dampak negatif bagi remaja. Salifu dan Somhlaba </w:t>
      </w:r>
      <w:r w:rsidRPr="009C1430">
        <w:rPr>
          <w:rFonts w:ascii="Candara" w:hAnsi="Candara"/>
          <w:sz w:val="20"/>
          <w:szCs w:val="20"/>
        </w:rPr>
        <w:fldChar w:fldCharType="begin" w:fldLock="1"/>
      </w:r>
      <w:r w:rsidRPr="009C1430">
        <w:rPr>
          <w:rFonts w:ascii="Candara" w:hAnsi="Candara"/>
          <w:sz w:val="20"/>
          <w:szCs w:val="20"/>
        </w:rPr>
        <w:instrText>ADDIN CSL_CITATION {"citationItems":[{"id":"ITEM-1","itemData":{"DOI":"10.1016/j.childyouth.2014.07.025","ISSN":"01907409","abstract":"Previous studies have demonstrated that parental loss and orphanage placement can be stressful and can negatively affect the psychological well-being of children. However, studies on the psychological well-being of orphanage-placed children in Accra, Ghana are scarce and the impact of parental loss and orphanage placement is minimally understood. The aim of the present study was to explore stress (symptoms of depression and anxiety), coping and the overall quality of life of orphaned children in comparison to non-orphans who resided with their parents. We sampled 200 participants aged between 7 and 17. years, with 100 being orphaned children placed in four orphanages (experimental group) and 100 non-orphans from two public schools in Accra, Ghana (control group). The participants completed the Children's Depression Inventory, the Revised Children's Manifest Anxiety Scale, the Kidcope scale and the World Health Organization Quality of Life-BREF Version. One-way Analysis of Variance revealed that orphaned children showed more anxiety symptoms than non-orphans but there were no significant differences between orphaned children and non-orphans on symptoms of depression and overall quality of life. The Pearson product-moment correlation analyses revealed significant correlations between depression, anxiety, coping and quality of life in the orphaned children and non-orphans. Stepwise regression analyses also revealed that for orphaned children, anxiety and support-seeking coping emerged as significant predictors of qualify of life whereas depression emerged as a significant predictor of quality of life for the non-orphaned children. The implications of the results are discussed. © 2014 Elsevier Ltd.","author":[{"dropping-particle":"","family":"Salifu Yendork","given":"J.","non-dropping-particle":"","parse-names":false,"suffix":""},{"dropping-particle":"","family":"Somhlaba","given":"Nceba Z.","non-dropping-particle":"","parse-names":false,"suffix":""}],"container-title":"Children and Youth Services Review","id":"ITEM-1","issued":{"date-parts":[["2014"]]},"page":"28-37","publisher":"Elsevier Ltd","title":"Stress, coping and quality of life: An exploratory study of the psychological well-being of Ghanaian orphans placed in orphanages","type":"article-journal","volume":"46"},"suppress-author":1,"uris":["http://www.mendeley.com/documents/?uuid=b7287047-0127-45fb-a5ec-65f5d4f3ceaa"]}],"mendeley":{"formattedCitation":"(2014)","manualFormatting":"(2014)","plainTextFormattedCitation":"(2014)","previouslyFormattedCitation":"(2014)"},"properties":{"noteIndex":0},"schema":"https://github.com/citation-style-language/schema/raw/master/csl-citation.json"}</w:instrText>
      </w:r>
      <w:r w:rsidRPr="009C1430">
        <w:rPr>
          <w:rFonts w:ascii="Candara" w:hAnsi="Candara"/>
          <w:sz w:val="20"/>
          <w:szCs w:val="20"/>
        </w:rPr>
        <w:fldChar w:fldCharType="separate"/>
      </w:r>
      <w:r w:rsidRPr="009C1430">
        <w:rPr>
          <w:rFonts w:ascii="Candara" w:hAnsi="Candara"/>
          <w:noProof/>
          <w:sz w:val="20"/>
          <w:szCs w:val="20"/>
        </w:rPr>
        <w:t>(2014)</w:t>
      </w:r>
      <w:r w:rsidRPr="009C1430">
        <w:rPr>
          <w:rFonts w:ascii="Candara" w:hAnsi="Candara"/>
          <w:sz w:val="20"/>
          <w:szCs w:val="20"/>
        </w:rPr>
        <w:fldChar w:fldCharType="end"/>
      </w:r>
      <w:r w:rsidRPr="009C1430">
        <w:rPr>
          <w:rFonts w:ascii="Candara" w:hAnsi="Candara"/>
          <w:sz w:val="20"/>
          <w:szCs w:val="20"/>
        </w:rPr>
        <w:t xml:space="preserve"> menyebutkan bahwa </w:t>
      </w:r>
      <w:r w:rsidRPr="009C1430">
        <w:rPr>
          <w:rFonts w:ascii="Candara" w:hAnsi="Candara"/>
          <w:i/>
          <w:iCs/>
          <w:sz w:val="20"/>
          <w:szCs w:val="20"/>
        </w:rPr>
        <w:t>social well-being</w:t>
      </w:r>
      <w:r w:rsidR="00D3216D">
        <w:rPr>
          <w:rFonts w:ascii="Candara" w:hAnsi="Candara"/>
          <w:i/>
          <w:iCs/>
          <w:sz w:val="20"/>
          <w:szCs w:val="20"/>
        </w:rPr>
        <w:t xml:space="preserve"> </w:t>
      </w:r>
      <w:r w:rsidR="00D3216D">
        <w:rPr>
          <w:rFonts w:ascii="Candara" w:hAnsi="Candara"/>
          <w:sz w:val="20"/>
          <w:szCs w:val="20"/>
        </w:rPr>
        <w:t>yang menurun disebabkan oleh minimnya dukungan dari limgkungan sekitar</w:t>
      </w:r>
      <w:r w:rsidRPr="009C1430">
        <w:rPr>
          <w:rFonts w:ascii="Candara" w:hAnsi="Candara"/>
          <w:sz w:val="20"/>
          <w:szCs w:val="20"/>
        </w:rPr>
        <w:t xml:space="preserve">. Selain itu, remaja dengan </w:t>
      </w:r>
      <w:r w:rsidRPr="009C1430">
        <w:rPr>
          <w:rFonts w:ascii="Candara" w:hAnsi="Candara"/>
          <w:i/>
          <w:iCs/>
          <w:sz w:val="20"/>
          <w:szCs w:val="20"/>
        </w:rPr>
        <w:t xml:space="preserve">social well-being </w:t>
      </w:r>
      <w:r w:rsidRPr="009C1430">
        <w:rPr>
          <w:rFonts w:ascii="Candara" w:hAnsi="Candara"/>
          <w:sz w:val="20"/>
          <w:szCs w:val="20"/>
        </w:rPr>
        <w:t xml:space="preserve">rendah akan keikutsertaan dalam geng serta terlibat dalam perilaku delinkuensi atau perilaku yang menyimpang dari norma sosial dan hukum </w:t>
      </w:r>
      <w:r w:rsidRPr="009C1430">
        <w:rPr>
          <w:rFonts w:ascii="Candara" w:hAnsi="Candara"/>
          <w:sz w:val="20"/>
          <w:szCs w:val="20"/>
        </w:rPr>
        <w:fldChar w:fldCharType="begin" w:fldLock="1"/>
      </w:r>
      <w:r w:rsidR="00A265CC">
        <w:rPr>
          <w:rFonts w:ascii="Candara" w:hAnsi="Candara"/>
          <w:sz w:val="20"/>
          <w:szCs w:val="20"/>
        </w:rPr>
        <w:instrText>ADDIN CSL_CITATION {"citationItems":[{"id":"ITEM-1","itemData":{"ISSN":"2222-288X","abstract":"This research was conducted purposely to examine child delinquency on pupils' academic performance. Fumesua Municipal Assembly (M/A) primary school was used as the case study for the research. The specific objectives of the study are to find out the factors that contribute to child delinquent behavior, identify, if delinquent behavior influence the child academic performance and to find out the remedies that will help solve the problem. There was review of related literature in order to put the study into perspective. The study selected a sample size of 49 respondents comprising 40 students and 9 teachers who were interviewed, in order to obtain primary data. Secondary data was also gathered from books, journals and the internet. Purposive sampling was the sampling technique used for selecting the pupils. The collected data were analyzed using Statistical Package for Service Solution (SPSS). From the findings of the study, it was realized that, the causes of child delinquency are as a result of financial problem, bad friends, and poor academic performance and for fun. Also from the findings, it was realized that the remedies to child delinquency are punishment, guidance and counseling, proper monitoring of pupils by parents and reporting of children to their teachers when they misbehave. It was recommended that, parents should monitor their children movement and be mindful of the kind of people they walked with. Also it was recommended that children should not be given enough idle time and again classrooms should not be overcrowded.","author":[{"dropping-particle":"","family":"Gyansah","given":"Samuel Tieku","non-dropping-particle":"","parse-names":false,"suffix":""},{"dropping-particle":"","family":"Soku","given":"Rejoice","non-dropping-particle":"","parse-names":false,"suffix":""},{"dropping-particle":"","family":"Esilfie","given":"Gabriel","non-dropping-particle":"","parse-names":false,"suffix":""}],"container-title":"Journal of Education and Practice","id":"ITEM-1","issue":"12","issued":{"date-parts":[["2015"]]},"page":"107-120","title":"Child deliquency and pupils' academic performance in fumesua municipal assembly primary school in the Ejisu- Juaben Municipality, Ashanti Region, Ghana","type":"article-journal","volume":"6"},"uris":["http://www.mendeley.com/documents/?uuid=6d2f1fe2-d913-43a3-853d-809e07f1ed97"]},{"id":"ITEM-2","itemData":{"DOI":"10.1111/jora.12121.The","author":[{"dropping-particle":"","family":"Gilman","given":"Amanda B","non-dropping-particle":"","parse-names":false,"suffix":""},{"dropping-particle":"","family":"Hill","given":"Karl G","non-dropping-particle":"","parse-names":false,"suffix":""},{"dropping-particle":"","family":"Hawkins","given":"J David","non-dropping-particle":"","parse-names":false,"suffix":""}],"id":"ITEM-2","issue":"2","issued":{"date-parts":[["2015"]]},"page":"204-219","title":"Gilman, Hill, Hawkins, Howell, developmental dynamics of joining a gang in adolescence gang membership - 2-14","type":"article-journal","volume":"24"},"uris":["http://www.mendeley.com/documents/?uuid=6f734bd5-0ab4-46b6-bbe2-37e4d54cbb69"]}],"mendeley":{"formattedCitation":"(Gilman, Hill, and Hawkins 2015; Gyansah, Soku, and Esilfie 2015)","plainTextFormattedCitation":"(Gilman, Hill, and Hawkins 2015; Gyansah, Soku, and Esilfie 2015)","previouslyFormattedCitation":"(Gilman, Hill, and Hawkins 2015; Gyansah, Soku, and Esilfie 2015)"},"properties":{"noteIndex":0},"schema":"https://github.com/citation-style-language/schema/raw/master/csl-citation.json"}</w:instrText>
      </w:r>
      <w:r w:rsidRPr="009C1430">
        <w:rPr>
          <w:rFonts w:ascii="Candara" w:hAnsi="Candara"/>
          <w:sz w:val="20"/>
          <w:szCs w:val="20"/>
        </w:rPr>
        <w:fldChar w:fldCharType="separate"/>
      </w:r>
      <w:r w:rsidR="00AD0D51" w:rsidRPr="00AD0D51">
        <w:rPr>
          <w:rFonts w:ascii="Candara" w:hAnsi="Candara"/>
          <w:noProof/>
          <w:sz w:val="20"/>
          <w:szCs w:val="20"/>
        </w:rPr>
        <w:t>(Gilman, Hill, and Hawkins 2015; Gyansah, Soku, and Esilfie 2015)</w:t>
      </w:r>
      <w:r w:rsidRPr="009C1430">
        <w:rPr>
          <w:rFonts w:ascii="Candara" w:hAnsi="Candara"/>
          <w:sz w:val="20"/>
          <w:szCs w:val="20"/>
        </w:rPr>
        <w:fldChar w:fldCharType="end"/>
      </w:r>
      <w:r w:rsidRPr="009C1430">
        <w:rPr>
          <w:rFonts w:ascii="Candara" w:hAnsi="Candara"/>
          <w:sz w:val="20"/>
          <w:szCs w:val="20"/>
        </w:rPr>
        <w:t xml:space="preserve">. </w:t>
      </w:r>
      <w:r w:rsidR="00D11DAD">
        <w:rPr>
          <w:rFonts w:ascii="Candara" w:hAnsi="Candara"/>
          <w:sz w:val="20"/>
          <w:szCs w:val="20"/>
        </w:rPr>
        <w:t>Meskipun dipengaruhi oelh banyak faktor,</w:t>
      </w:r>
      <w:r w:rsidR="00D3216D">
        <w:rPr>
          <w:rFonts w:ascii="Candara" w:hAnsi="Candara"/>
          <w:i/>
          <w:iCs/>
          <w:sz w:val="20"/>
          <w:szCs w:val="20"/>
        </w:rPr>
        <w:t xml:space="preserve"> </w:t>
      </w:r>
      <w:r w:rsidR="00D11DAD">
        <w:rPr>
          <w:rFonts w:ascii="Candara" w:hAnsi="Candara"/>
          <w:i/>
          <w:iCs/>
          <w:sz w:val="20"/>
          <w:szCs w:val="20"/>
        </w:rPr>
        <w:t xml:space="preserve">social </w:t>
      </w:r>
      <w:r w:rsidR="00D3216D">
        <w:rPr>
          <w:rFonts w:ascii="Candara" w:hAnsi="Candara"/>
          <w:i/>
          <w:iCs/>
          <w:sz w:val="20"/>
          <w:szCs w:val="20"/>
        </w:rPr>
        <w:t>well-</w:t>
      </w:r>
      <w:r w:rsidR="00D3216D" w:rsidRPr="00D3216D">
        <w:rPr>
          <w:rFonts w:ascii="Candara" w:hAnsi="Candara"/>
          <w:sz w:val="20"/>
          <w:szCs w:val="20"/>
        </w:rPr>
        <w:t>being</w:t>
      </w:r>
      <w:r w:rsidR="00D3216D">
        <w:rPr>
          <w:rFonts w:ascii="Candara" w:hAnsi="Candara"/>
          <w:sz w:val="20"/>
          <w:szCs w:val="20"/>
        </w:rPr>
        <w:t xml:space="preserve"> </w:t>
      </w:r>
      <w:r w:rsidR="00D11DAD">
        <w:rPr>
          <w:rFonts w:ascii="Candara" w:hAnsi="Candara"/>
          <w:sz w:val="20"/>
          <w:szCs w:val="20"/>
        </w:rPr>
        <w:t xml:space="preserve">individu sangat </w:t>
      </w:r>
      <w:r w:rsidR="00D11DAD">
        <w:rPr>
          <w:rFonts w:ascii="Candara" w:hAnsi="Candara"/>
          <w:sz w:val="20"/>
          <w:szCs w:val="20"/>
        </w:rPr>
        <w:t>bergantung pada dukungan yang ia terima dari teman-teman sebayanya</w:t>
      </w:r>
      <w:r w:rsidRPr="009C1430">
        <w:rPr>
          <w:rFonts w:ascii="Candara" w:hAnsi="Candara"/>
          <w:sz w:val="20"/>
          <w:szCs w:val="20"/>
        </w:rPr>
        <w:t xml:space="preserve">. </w:t>
      </w:r>
      <w:r w:rsidRPr="009C1430">
        <w:rPr>
          <w:rFonts w:ascii="Candara" w:hAnsi="Candara"/>
          <w:i/>
          <w:iCs/>
          <w:sz w:val="20"/>
          <w:szCs w:val="20"/>
        </w:rPr>
        <w:t>Peer social support</w:t>
      </w:r>
      <w:r w:rsidRPr="009C1430">
        <w:rPr>
          <w:rFonts w:ascii="Candara" w:hAnsi="Candara"/>
          <w:sz w:val="20"/>
          <w:szCs w:val="20"/>
        </w:rPr>
        <w:t xml:space="preserve"> </w:t>
      </w:r>
      <w:r w:rsidR="00D11DAD">
        <w:rPr>
          <w:rFonts w:ascii="Candara" w:hAnsi="Candara"/>
          <w:sz w:val="20"/>
          <w:szCs w:val="20"/>
        </w:rPr>
        <w:t xml:space="preserve">merupakan bantuan yang diterima individu dari rekan seusianya melalui pertukaran komunikasi </w:t>
      </w:r>
      <w:r w:rsidRPr="009C1430">
        <w:rPr>
          <w:rFonts w:ascii="Candara" w:hAnsi="Candara"/>
          <w:sz w:val="20"/>
          <w:szCs w:val="20"/>
        </w:rPr>
        <w:t xml:space="preserve">verbal ataupun non-verbal </w:t>
      </w:r>
      <w:r w:rsidRPr="009C1430">
        <w:rPr>
          <w:rFonts w:ascii="Candara" w:hAnsi="Candara"/>
          <w:sz w:val="20"/>
          <w:szCs w:val="20"/>
        </w:rPr>
        <w:fldChar w:fldCharType="begin" w:fldLock="1"/>
      </w:r>
      <w:r w:rsidR="00A265CC">
        <w:rPr>
          <w:rFonts w:ascii="Candara" w:hAnsi="Candara"/>
          <w:sz w:val="20"/>
          <w:szCs w:val="20"/>
        </w:rPr>
        <w:instrText>ADDIN CSL_CITATION {"citationItems":[{"id":"ITEM-1","itemData":{"DOI":"10.24123/aipj.v38i1.4711","ISSN":"0215-0158","abstract":"The sudden transition of the learning environment during the COVID-19 pandemic brings many challenges for university students, potentially leading them to experience higher levels of academic stress. Previous studies have found that peer social support is beneficial to help students deal with academic stress. Therefore, this study aims to find the relationship between peer social support and academic stress among university students during online learning. Peer Social Support Scale and Academic Stress Scale were used as instruments for data collection. A total of 230 undergraduate students from 14 universities in Yogyakarta, Indonesia participated in the study. The participants were students who currently or had attended lecture(s) in the time of learning transformation from physical (face-to-face) to virtual (distance) environment due to social restrictions. A simple linear regression technique was applied to evaluate academic stress as a function of peer social support. This study found that students who receive peer social support experienced lower levels of academic stress during online learning. Further suggestions for students, educational practitioners, and educational institutions were also discussed.\r  \r Perubahan lingkungan belajar yang tiba-tiba selama pandemi COVID-19 menyebabkan banyak tantangan untuk mahasiswa, dan berpotensi meningkatkan tingkat stres akademik. Sejumlah studi terdahulu menemukan bahwa dukungan sosial teman sebaya berperan membantu mahasiswa mengatasi stres akademik. Maka dari itu, studi ini bertujuan untuk mencari hubungan antara dukungan sosial teman sebaya dan stres akademik pada mahasiswa selama pembelajaran daring. Peer Social Support Scale dan Academic Stress Scale digunakan untuk pengambilan data. Terdapat total 230 mahasiswa dari 14 universitas di Yogyakarta, Indonesia yang berpartisipasi dalam studi. Partisipan adalah mahasiswa aktif yang sedang atau pernah mengikuti perkuliahan selama transisi proses belajar dari pembelajaran tatap muka ke pembelajaran virtual akibat pembatasan sosial. Analisis regresi linear sederhana digunakan untuk mengkaji stres akademik sebagai fungsi dari dukungan sosial teman sebaya. Studi ini menemukan bahwa mahasiswa yang mendapatkan dukungan sosial teman sebaya akan mengalami tingkat stres akademik yang lebih rendah selama pembelajaran daring. Studi ini juga mendiskusikan saran lebih lanjut yang diharapkan dapat berguna untuk mahasiswa, praktisi pendidikan, dan institusi pendidikan.","author":[{"dropping-particle":"","family":"Prayitno","given":"Hayyu Aliya","non-dropping-particle":"","parse-names":false,"suffix":""},{"dropping-particle":"","family":"Andayani","given":"Budi","non-dropping-particle":"","parse-names":false,"suffix":""}],"container-title":"ANIMA Indonesian Psychological Journal","id":"ITEM-1","issue":"1","issued":{"date-parts":[["2023"]]},"page":"038106","title":"The Relationship Between Peer Social Support and Academic Stress Among University Students During the COVID-19 Pandemic [Hubungan Antara Dukungan Sosial Teman Sebaya dan Stres Akademik Mahasiswa Selama Pandemi COVID-19]","type":"article-journal","volume":"38"},"uris":["http://www.mendeley.com/documents/?uuid=d8b9a97e-301c-4f4f-b0df-2b9bf512b292"]},{"id":"ITEM-2","itemData":{"author":[{"dropping-particle":"","family":"Prayogo","given":"Wahyu","non-dropping-particle":"","parse-names":false,"suffix":""}],"id":"ITEM-2","issue":"4","issued":{"date-parts":[["2018"]]},"page":"474-481","title":"Hubungan Dukungan Sosial Orangtua Dan Religiusitas Dengan Perilaku Agresif","type":"article-journal","volume":"6"},"uris":["http://www.mendeley.com/documents/?uuid=9ac6b348-d429-4cad-bc5c-4574a643cc7f"]}],"mendeley":{"formattedCitation":"(Prayitno and Andayani 2023; Prayogo 2018)","plainTextFormattedCitation":"(Prayitno and Andayani 2023; Prayogo 2018)","previouslyFormattedCitation":"(Prayitno and Andayani 2023; Prayogo 2018)"},"properties":{"noteIndex":0},"schema":"https://github.com/citation-style-language/schema/raw/master/csl-citation.json"}</w:instrText>
      </w:r>
      <w:r w:rsidRPr="009C1430">
        <w:rPr>
          <w:rFonts w:ascii="Candara" w:hAnsi="Candara"/>
          <w:sz w:val="20"/>
          <w:szCs w:val="20"/>
        </w:rPr>
        <w:fldChar w:fldCharType="separate"/>
      </w:r>
      <w:r w:rsidR="00AD0D51" w:rsidRPr="00AD0D51">
        <w:rPr>
          <w:rFonts w:ascii="Candara" w:hAnsi="Candara"/>
          <w:noProof/>
          <w:sz w:val="20"/>
          <w:szCs w:val="20"/>
        </w:rPr>
        <w:t>(Prayitno and Andayani 2023; Prayogo 2018)</w:t>
      </w:r>
      <w:r w:rsidRPr="009C1430">
        <w:rPr>
          <w:rFonts w:ascii="Candara" w:hAnsi="Candara"/>
          <w:sz w:val="20"/>
          <w:szCs w:val="20"/>
        </w:rPr>
        <w:fldChar w:fldCharType="end"/>
      </w:r>
      <w:r w:rsidRPr="009C1430">
        <w:rPr>
          <w:rFonts w:ascii="Candara" w:hAnsi="Candara"/>
          <w:sz w:val="20"/>
          <w:szCs w:val="20"/>
        </w:rPr>
        <w:t xml:space="preserve">. Penelitian oleh Prayacita dan Maryam </w:t>
      </w:r>
      <w:r w:rsidRPr="009C1430">
        <w:rPr>
          <w:rFonts w:ascii="Candara" w:hAnsi="Candara"/>
          <w:sz w:val="20"/>
          <w:szCs w:val="20"/>
        </w:rPr>
        <w:fldChar w:fldCharType="begin" w:fldLock="1"/>
      </w:r>
      <w:r w:rsidRPr="009C1430">
        <w:rPr>
          <w:rFonts w:ascii="Candara" w:hAnsi="Candara"/>
          <w:sz w:val="20"/>
          <w:szCs w:val="20"/>
        </w:rPr>
        <w:instrText>ADDIN CSL_CITATION {"citationItems":[{"id":"ITEM-1","itemData":{"abstract":"Social well-being is a person's achievement to face social roles in their environment. Social well-being is very important for every individual, especially for students because students are intellectual candidates or young intellectuals who will be the nation's successor who will have various predicates. Social well-being is one of the welfare that students want because of the demands of an increasingly sophisticated technology. This study aims to determine the description of social well-being and the factors that influence social well-being among students using social media. This researcher used a qualitative method with a phenomenological type, using two student subjects aged 18-30 years, male and female who actively use social media. Determination of the subject using purposive sampling, data collection methods in the form of interviews with both subjects. The results showed a picture of social well-being among students using social media in the form of social acceptance, social actualization, social relations, social contribution and social integration. It also shows the factors that support social well-being among students using social media, namely social support, social participation, social attitudes and social contacts.","author":[{"dropping-particle":"","family":"Prayacita","given":"Hardaning","non-dropping-particle":"","parse-names":false,"suffix":""},{"dropping-particle":"","family":"Maryam","given":"Effy Wardati","non-dropping-particle":"","parse-names":false,"suffix":""}],"container-title":"Proceding of Inter-Islamic University Conference on Psychology","id":"ITEM-1","issue":"1","issued":{"date-parts":[["2021"]]},"page":"1-4","title":"Social Well-Being in Student Social Media Users : Social Well-Being Pada Mahasiswa Pengguna Media Sosial","type":"article-journal","volume":"1"},"suppress-author":1,"uris":["http://www.mendeley.com/documents/?uuid=a2da4a8c-cce2-4a52-b754-9dec3decb898"]}],"mendeley":{"formattedCitation":"(2021)","plainTextFormattedCitation":"(2021)","previouslyFormattedCitation":"(2021)"},"properties":{"noteIndex":0},"schema":"https://github.com/citation-style-language/schema/raw/master/csl-citation.json"}</w:instrText>
      </w:r>
      <w:r w:rsidRPr="009C1430">
        <w:rPr>
          <w:rFonts w:ascii="Candara" w:hAnsi="Candara"/>
          <w:sz w:val="20"/>
          <w:szCs w:val="20"/>
        </w:rPr>
        <w:fldChar w:fldCharType="separate"/>
      </w:r>
      <w:r w:rsidRPr="009C1430">
        <w:rPr>
          <w:rFonts w:ascii="Candara" w:hAnsi="Candara"/>
          <w:noProof/>
          <w:sz w:val="20"/>
          <w:szCs w:val="20"/>
        </w:rPr>
        <w:t>(2021)</w:t>
      </w:r>
      <w:r w:rsidRPr="009C1430">
        <w:rPr>
          <w:rFonts w:ascii="Candara" w:hAnsi="Candara"/>
          <w:sz w:val="20"/>
          <w:szCs w:val="20"/>
        </w:rPr>
        <w:fldChar w:fldCharType="end"/>
      </w:r>
      <w:r w:rsidRPr="009C1430">
        <w:rPr>
          <w:rFonts w:ascii="Candara" w:hAnsi="Candara"/>
          <w:sz w:val="20"/>
          <w:szCs w:val="20"/>
        </w:rPr>
        <w:t xml:space="preserve"> menemukan bahwa </w:t>
      </w:r>
      <w:r w:rsidRPr="009C1430">
        <w:rPr>
          <w:rFonts w:ascii="Candara" w:hAnsi="Candara"/>
          <w:i/>
          <w:iCs/>
          <w:sz w:val="20"/>
          <w:szCs w:val="20"/>
        </w:rPr>
        <w:t>social well-being</w:t>
      </w:r>
      <w:r w:rsidRPr="009C1430">
        <w:rPr>
          <w:rFonts w:ascii="Candara" w:hAnsi="Candara"/>
          <w:sz w:val="20"/>
          <w:szCs w:val="20"/>
        </w:rPr>
        <w:t xml:space="preserve"> pada mahasiswa pengguna media sosial </w:t>
      </w:r>
      <w:r w:rsidR="00D11DAD">
        <w:rPr>
          <w:rFonts w:ascii="Candara" w:hAnsi="Candara"/>
          <w:sz w:val="20"/>
          <w:szCs w:val="20"/>
        </w:rPr>
        <w:t xml:space="preserve">dilatarbelakangi oleh </w:t>
      </w:r>
      <w:r w:rsidRPr="009C1430">
        <w:rPr>
          <w:rFonts w:ascii="Candara" w:hAnsi="Candara"/>
          <w:sz w:val="20"/>
          <w:szCs w:val="20"/>
        </w:rPr>
        <w:t>dukungan sosial. Dukungan sosial me</w:t>
      </w:r>
      <w:r w:rsidR="00D26605">
        <w:rPr>
          <w:rFonts w:ascii="Candara" w:hAnsi="Candara"/>
          <w:sz w:val="20"/>
          <w:szCs w:val="20"/>
        </w:rPr>
        <w:t xml:space="preserve">megang peranan penting </w:t>
      </w:r>
      <w:r w:rsidRPr="009C1430">
        <w:rPr>
          <w:rFonts w:ascii="Candara" w:hAnsi="Candara"/>
          <w:sz w:val="20"/>
          <w:szCs w:val="20"/>
        </w:rPr>
        <w:t xml:space="preserve">dalam </w:t>
      </w:r>
      <w:r w:rsidRPr="009C1430">
        <w:rPr>
          <w:rFonts w:ascii="Candara" w:hAnsi="Candara"/>
          <w:i/>
          <w:iCs/>
          <w:sz w:val="20"/>
          <w:szCs w:val="20"/>
        </w:rPr>
        <w:t>social well-being</w:t>
      </w:r>
      <w:r w:rsidRPr="009C1430">
        <w:rPr>
          <w:rFonts w:ascii="Candara" w:hAnsi="Candara"/>
          <w:sz w:val="20"/>
          <w:szCs w:val="20"/>
        </w:rPr>
        <w:t xml:space="preserve"> </w:t>
      </w:r>
      <w:r w:rsidRPr="009C1430">
        <w:rPr>
          <w:rFonts w:ascii="Candara" w:hAnsi="Candara"/>
          <w:sz w:val="20"/>
          <w:szCs w:val="20"/>
        </w:rPr>
        <w:fldChar w:fldCharType="begin" w:fldLock="1"/>
      </w:r>
      <w:r w:rsidR="00A265CC">
        <w:rPr>
          <w:rFonts w:ascii="Candara" w:hAnsi="Candara"/>
          <w:sz w:val="20"/>
          <w:szCs w:val="20"/>
        </w:rPr>
        <w:instrText>ADDIN CSL_CITATION {"citationItems":[{"id":"ITEM-1","itemData":{"DOI":"10.20319/pijss.2018.43.566573","abstract":"In last decades it is possible to observe popularity the concept of well-being, which present meaningful and satisfied life for personality, special kind of attitude (to oneself and environment). Well-being is often associated with physical vitality, mental activity, social support and satisfaction, self-realization both in personal and professional fields. It is considered as an alternative of negative way of thinking, destructive defensive mechanisms and inappropriate style of living. Social well-being as significant part of well-being is connected with our relations with others and our feeling of security related to the environment we live in. In my presentation I would like to present new contemporary approaches in studies of social well-being. It is most related to the quality of our existence on social level, our capacity to find out own place in the environment independently of economic and social factors.","author":[{"dropping-particle":"","family":"Dunaeva","given":"Victoria","non-dropping-particle":"","parse-names":false,"suffix":""}],"container-title":"PEOPLE: International Journal of Social Sciences","id":"ITEM-1","issue":"3","issued":{"date-parts":[["2018"]]},"page":"566-573","title":"New Approaches in Social Well- Being Studies","type":"article-journal","volume":"4"},"uris":["http://www.mendeley.com/documents/?uuid=d3ccf362-a583-4f59-98dc-bda6dcc8b81c"]}],"mendeley":{"formattedCitation":"(Dunaeva 2018)","plainTextFormattedCitation":"(Dunaeva 2018)","previouslyFormattedCitation":"(Dunaeva 2018)"},"properties":{"noteIndex":0},"schema":"https://github.com/citation-style-language/schema/raw/master/csl-citation.json"}</w:instrText>
      </w:r>
      <w:r w:rsidRPr="009C1430">
        <w:rPr>
          <w:rFonts w:ascii="Candara" w:hAnsi="Candara"/>
          <w:sz w:val="20"/>
          <w:szCs w:val="20"/>
        </w:rPr>
        <w:fldChar w:fldCharType="separate"/>
      </w:r>
      <w:r w:rsidR="00AD0D51" w:rsidRPr="00AD0D51">
        <w:rPr>
          <w:rFonts w:ascii="Candara" w:hAnsi="Candara"/>
          <w:noProof/>
          <w:sz w:val="20"/>
          <w:szCs w:val="20"/>
        </w:rPr>
        <w:t>(Dunaeva 2018)</w:t>
      </w:r>
      <w:r w:rsidRPr="009C1430">
        <w:rPr>
          <w:rFonts w:ascii="Candara" w:hAnsi="Candara"/>
          <w:sz w:val="20"/>
          <w:szCs w:val="20"/>
        </w:rPr>
        <w:fldChar w:fldCharType="end"/>
      </w:r>
      <w:r w:rsidRPr="009C1430">
        <w:rPr>
          <w:rFonts w:ascii="Candara" w:hAnsi="Candara"/>
          <w:sz w:val="20"/>
          <w:szCs w:val="20"/>
        </w:rPr>
        <w:t xml:space="preserve">. Kesejahteraan sosial remaja juga dipengaruhi oleh dukungan sosial salah satunya dari teman sekelas dan sekolah </w:t>
      </w:r>
      <w:r w:rsidRPr="009C1430">
        <w:rPr>
          <w:rFonts w:ascii="Candara" w:hAnsi="Candara"/>
          <w:sz w:val="20"/>
          <w:szCs w:val="20"/>
        </w:rPr>
        <w:fldChar w:fldCharType="begin" w:fldLock="1"/>
      </w:r>
      <w:r w:rsidR="00A265CC">
        <w:rPr>
          <w:rFonts w:ascii="Candara" w:hAnsi="Candara"/>
          <w:sz w:val="20"/>
          <w:szCs w:val="20"/>
        </w:rPr>
        <w:instrText>ADDIN CSL_CITATION {"citationItems":[{"id":"ITEM-1","itemData":{"author":[{"dropping-particle":"al","family":"Sulistiowati","given":"Ni Made Dian et","non-dropping-particle":"","parse-names":false,"suffix":""}],"container-title":"Jurnal Ilmiah Permas: Jurnal Ilmiah STIKES Kendal","id":"ITEM-1","issue":"2","issued":{"date-parts":[["2018"]]},"page":"116-122","title":"Description of Social Support Toward Emotional , Psychology and Social Wellbeing Among Adolescent ’ S Mental Health","type":"article-journal","volume":"8"},"uris":["http://www.mendeley.com/documents/?uuid=5cd7bdab-8246-4bfc-ae35-114bca4f6bc4"]}],"mendeley":{"formattedCitation":"(Sulistiowati 2018)","plainTextFormattedCitation":"(Sulistiowati 2018)","previouslyFormattedCitation":"(Sulistiowati 2018)"},"properties":{"noteIndex":0},"schema":"https://github.com/citation-style-language/schema/raw/master/csl-citation.json"}</w:instrText>
      </w:r>
      <w:r w:rsidRPr="009C1430">
        <w:rPr>
          <w:rFonts w:ascii="Candara" w:hAnsi="Candara"/>
          <w:sz w:val="20"/>
          <w:szCs w:val="20"/>
        </w:rPr>
        <w:fldChar w:fldCharType="separate"/>
      </w:r>
      <w:r w:rsidR="00AD0D51" w:rsidRPr="00AD0D51">
        <w:rPr>
          <w:rFonts w:ascii="Candara" w:hAnsi="Candara"/>
          <w:noProof/>
          <w:sz w:val="20"/>
          <w:szCs w:val="20"/>
        </w:rPr>
        <w:t>(Sulistiowati 2018)</w:t>
      </w:r>
      <w:r w:rsidRPr="009C1430">
        <w:rPr>
          <w:rFonts w:ascii="Candara" w:hAnsi="Candara"/>
          <w:sz w:val="20"/>
          <w:szCs w:val="20"/>
        </w:rPr>
        <w:fldChar w:fldCharType="end"/>
      </w:r>
      <w:r w:rsidRPr="009C1430">
        <w:rPr>
          <w:rFonts w:ascii="Candara" w:hAnsi="Candara"/>
          <w:sz w:val="20"/>
          <w:szCs w:val="20"/>
        </w:rPr>
        <w:t xml:space="preserve">. Namun, hasil penelitian oleh Rahma et al </w:t>
      </w:r>
      <w:r w:rsidRPr="009C1430">
        <w:rPr>
          <w:rFonts w:ascii="Candara" w:hAnsi="Candara"/>
          <w:sz w:val="20"/>
          <w:szCs w:val="20"/>
        </w:rPr>
        <w:fldChar w:fldCharType="begin" w:fldLock="1"/>
      </w:r>
      <w:r w:rsidRPr="009C1430">
        <w:rPr>
          <w:rFonts w:ascii="Candara" w:hAnsi="Candara"/>
          <w:sz w:val="20"/>
          <w:szCs w:val="20"/>
        </w:rPr>
        <w:instrText>ADDIN CSL_CITATION {"citationItems":[{"id":"ITEM-1","itemData":{"DOI":"10.24854/jpu106","ISSN":"2088-4230","abstract":"Studi-studi terbaru menunjukkan bahwa kesejahteraan di sekolah merupakan prediktor penting terhadap prestasi siswa. Salah satu determinan dari persepsi siswa terhadap tingkat kesejahteraannya di sekolah adalah persepsinya mengenai dukungan sosial dari lingkungan sekitarnya. Penelitian ini bertujuan untuk mengetahui apakah persepsi dukungan sosial berpengaruh signifikan terhadap kesejahteraan di sekolah siswa SMA. Sebanyak 304 siswa (Musia = 16.27; SD = .815) berpartisipasi dalam studi ini; sampel diperoleh melalui teknik sampling aksidental. Hasil penelitian ini menunjukkan bahwa dukungan sosial berperan terhadap kesejahteraan di sekolah pada siswa SMA. Dari lima sumber persepsi dukungan sosial yang diukur, dukungan dari guru memiliki pengaruh terbesar terhadap kesejahteraan di sekolah siswa SMA, sedangkan dukungan dari sahabat menunjukkan pengaruh paling kecil. Hasil studi ini merekomendasikan pentingnya manajemen sekolah, terutama sekolah menengah atas, untuk memperhitungkan dan memenuhi dukungan sosial siswanya sebagai upaya untuk meningkatkan prestasi dan kesejahteraannya di sekolah.","author":[{"dropping-particle":"","family":"Rahma","given":"Ulifa","non-dropping-particle":"","parse-names":false,"suffix":""},{"dropping-particle":"","family":"Pramitadewi","given":"Karina Putri","non-dropping-particle":"","parse-names":false,"suffix":""},{"dropping-particle":"","family":"Faizah","given":"Faizah","non-dropping-particle":"","parse-names":false,"suffix":""},{"dropping-particle":"","family":"Perwiradara","given":"Yuliezar","non-dropping-particle":"","parse-names":false,"suffix":""}],"container-title":"Jurnal Psikologi Ulayat","id":"ITEM-1","issue":"2","issued":{"date-parts":[["2020"]]},"page":"163-176","title":"Pengaruh persepsi dukungan sosial terhadap kesejahteraan di sekolah siswa SMA","type":"article-journal","volume":"7"},"suppress-author":1,"uris":["http://www.mendeley.com/documents/?uuid=db820f7b-540f-46d3-9d0b-23166c77cc67"]}],"mendeley":{"formattedCitation":"(2020)","plainTextFormattedCitation":"(2020)","previouslyFormattedCitation":"(2020)"},"properties":{"noteIndex":0},"schema":"https://github.com/citation-style-language/schema/raw/master/csl-citation.json"}</w:instrText>
      </w:r>
      <w:r w:rsidRPr="009C1430">
        <w:rPr>
          <w:rFonts w:ascii="Candara" w:hAnsi="Candara"/>
          <w:sz w:val="20"/>
          <w:szCs w:val="20"/>
        </w:rPr>
        <w:fldChar w:fldCharType="separate"/>
      </w:r>
      <w:r w:rsidRPr="009C1430">
        <w:rPr>
          <w:rFonts w:ascii="Candara" w:hAnsi="Candara"/>
          <w:noProof/>
          <w:sz w:val="20"/>
          <w:szCs w:val="20"/>
        </w:rPr>
        <w:t>(2020)</w:t>
      </w:r>
      <w:r w:rsidRPr="009C1430">
        <w:rPr>
          <w:rFonts w:ascii="Candara" w:hAnsi="Candara"/>
          <w:sz w:val="20"/>
          <w:szCs w:val="20"/>
        </w:rPr>
        <w:fldChar w:fldCharType="end"/>
      </w:r>
      <w:r w:rsidRPr="009C1430">
        <w:rPr>
          <w:rFonts w:ascii="Candara" w:hAnsi="Candara"/>
          <w:sz w:val="20"/>
          <w:szCs w:val="20"/>
        </w:rPr>
        <w:t xml:space="preserve"> bahwa dukungan sosial dari sahabat menunjukkan pengaruh paling kecil terhadap kesejahteraan pada siswa SMA. Sepadan dengan </w:t>
      </w:r>
      <w:r w:rsidR="00D74B38">
        <w:rPr>
          <w:rFonts w:ascii="Candara" w:hAnsi="Candara"/>
          <w:sz w:val="20"/>
          <w:szCs w:val="20"/>
        </w:rPr>
        <w:t>studi oleh</w:t>
      </w:r>
      <w:r w:rsidRPr="009C1430">
        <w:rPr>
          <w:rFonts w:ascii="Candara" w:hAnsi="Candara"/>
          <w:sz w:val="20"/>
          <w:szCs w:val="20"/>
        </w:rPr>
        <w:t xml:space="preserve"> John et al </w:t>
      </w:r>
      <w:r w:rsidRPr="009C1430">
        <w:rPr>
          <w:rFonts w:ascii="Candara" w:hAnsi="Candara"/>
          <w:sz w:val="20"/>
          <w:szCs w:val="20"/>
        </w:rPr>
        <w:fldChar w:fldCharType="begin" w:fldLock="1"/>
      </w:r>
      <w:r w:rsidRPr="009C1430">
        <w:rPr>
          <w:rFonts w:ascii="Candara" w:hAnsi="Candara"/>
          <w:sz w:val="20"/>
          <w:szCs w:val="20"/>
        </w:rPr>
        <w:instrText>ADDIN CSL_CITATION {"citationItems":[{"id":"ITEM-1","itemData":{"DOI":"10.15694/mep.2018.0000170.1","abstract":"This article was migrated. The article was marked as recommended. Objectives: Many universities use peer support programmes to support students. However, there are currently no guidelines on the most effective way of facilitating emotional wellbeing in students. The aim of this paper is to review the evidence for the effectiveness of peer support to improve mental health wellbeing in university students. Methods: Six electronic databases (Medline, Embase, British Education Index (BEI), Australian Education Index (AEI), PsychINFO and Applied Social Sciences Index and Abstracts (ASSIA)) were searched in December 2017. Search terms included \"peer support\", \"university students\" and \"mental wellbeing\". Studies that did not include peer support or assess the impact of students' mental health were excluded. Data about design and delivery of the peer support intervention and changes in student mental wellbeing outcomes were extracted. Results: 489 records were identified. Three studies met the inclusion criteria; two cross-sectional surveys and one non-randomised intervention study. One study found social support to be the most important protective factor for mental wellbeing. Two studies showed no statistically significant improvement in wellbeing outcomes with peer support. One study found that majority of mentors and mentees found peer support useful. Conclusions: There is currently no evidence that peer support improves mental wellbeing among university students.","author":[{"dropping-particle":"","family":"John","given":"Nikita Margaret","non-dropping-particle":"","parse-names":false,"suffix":""},{"dropping-particle":"","family":"Page","given":"Oliver","non-dropping-particle":"","parse-names":false,"suffix":""},{"dropping-particle":"","family":"Martin","given":"Scott Christopher","non-dropping-particle":"","parse-names":false,"suffix":""},{"dropping-particle":"","family":"Whittaker","given":"Paula","non-dropping-particle":"","parse-names":false,"suffix":""}],"container-title":"MedEdPublish","id":"ITEM-1","issue":"August 2018","issued":{"date-parts":[["2018"]]},"page":"170","title":"Impact of peer support on student mental wellbeing: a systematic review","type":"article-journal","volume":"7"},"suppress-author":1,"uris":["http://www.mendeley.com/documents/?uuid=37032441-d4d0-4657-b002-3a93dcd10b5d"]}],"mendeley":{"formattedCitation":"(2018)","manualFormatting":"(2018)","plainTextFormattedCitation":"(2018)","previouslyFormattedCitation":"(2018)"},"properties":{"noteIndex":0},"schema":"https://github.com/citation-style-language/schema/raw/master/csl-citation.json"}</w:instrText>
      </w:r>
      <w:r w:rsidRPr="009C1430">
        <w:rPr>
          <w:rFonts w:ascii="Candara" w:hAnsi="Candara"/>
          <w:sz w:val="20"/>
          <w:szCs w:val="20"/>
        </w:rPr>
        <w:fldChar w:fldCharType="separate"/>
      </w:r>
      <w:r w:rsidRPr="009C1430">
        <w:rPr>
          <w:rFonts w:ascii="Candara" w:hAnsi="Candara"/>
          <w:noProof/>
          <w:sz w:val="20"/>
          <w:szCs w:val="20"/>
        </w:rPr>
        <w:t>(2018)</w:t>
      </w:r>
      <w:r w:rsidRPr="009C1430">
        <w:rPr>
          <w:rFonts w:ascii="Candara" w:hAnsi="Candara"/>
          <w:sz w:val="20"/>
          <w:szCs w:val="20"/>
        </w:rPr>
        <w:fldChar w:fldCharType="end"/>
      </w:r>
      <w:r w:rsidRPr="009C1430">
        <w:rPr>
          <w:rFonts w:ascii="Candara" w:hAnsi="Candara"/>
          <w:sz w:val="20"/>
          <w:szCs w:val="20"/>
        </w:rPr>
        <w:t xml:space="preserve"> bahwa dukungan teman sebaya tidak berpengaruh terhadap kesejahteraan mental mahasiswa. </w:t>
      </w:r>
      <w:r w:rsidR="00D26605">
        <w:rPr>
          <w:rFonts w:ascii="Candara" w:hAnsi="Candara"/>
          <w:sz w:val="20"/>
          <w:szCs w:val="20"/>
        </w:rPr>
        <w:t>Tak hanya</w:t>
      </w:r>
      <w:r w:rsidRPr="009C1430">
        <w:rPr>
          <w:rFonts w:ascii="Candara" w:hAnsi="Candara"/>
          <w:sz w:val="20"/>
          <w:szCs w:val="20"/>
        </w:rPr>
        <w:t xml:space="preserve"> itu, Brady et al </w:t>
      </w:r>
      <w:r w:rsidRPr="009C1430">
        <w:rPr>
          <w:rFonts w:ascii="Candara" w:hAnsi="Candara"/>
          <w:sz w:val="20"/>
          <w:szCs w:val="20"/>
        </w:rPr>
        <w:fldChar w:fldCharType="begin" w:fldLock="1"/>
      </w:r>
      <w:r w:rsidRPr="009C1430">
        <w:rPr>
          <w:rFonts w:ascii="Candara" w:hAnsi="Candara"/>
          <w:sz w:val="20"/>
          <w:szCs w:val="20"/>
        </w:rPr>
        <w:instrText>ADDIN CSL_CITATION {"citationItems":[{"id":"ITEM-1","itemData":{"DOI":"10.1016/j.euroecorev.2017.06.013","ISSN":"00142921","abstract":"Existing peer effects studies produce contradictory findings, including positive, negative, large, and small effects, despite similar contexts. We explore these results using U.S. Naval Academy data covering a 17-year history of the random assignment of students to peer groups. Coupled with students’ limited discretion over freshman-year courses, our setting affords an opportunity to better understand peer effects in different social contexts. We find negative effects at the broader “company” level – students’ social and residential group – and positive effects at the narrower course-company level within small peer groups. We suggest that peer spillovers change direction because of differences in the underlying mechanism of peer influence.","author":[{"dropping-particle":"","family":"Brady","given":"Ryan R.","non-dropping-particle":"","parse-names":false,"suffix":""},{"dropping-particle":"","family":"Insler","given":"Michael A.","non-dropping-particle":"","parse-names":false,"suffix":""},{"dropping-particle":"","family":"Rahman","given":"Ahmed S.","non-dropping-particle":"","parse-names":false,"suffix":""}],"container-title":"European Economic Review","id":"ITEM-1","issued":{"date-parts":[["2017"]]},"page":"144-168","publisher":"Elsevier B.V.","title":"Bad Company: Understanding negative peer effects in college achievement","type":"article-journal","volume":"98"},"suppress-author":1,"uris":["http://www.mendeley.com/documents/?uuid=79881db8-6c22-4618-b4d8-f2de6e3764a6"]}],"mendeley":{"formattedCitation":"(2017)","plainTextFormattedCitation":"(2017)","previouslyFormattedCitation":"(2017)"},"properties":{"noteIndex":0},"schema":"https://github.com/citation-style-language/schema/raw/master/csl-citation.json"}</w:instrText>
      </w:r>
      <w:r w:rsidRPr="009C1430">
        <w:rPr>
          <w:rFonts w:ascii="Candara" w:hAnsi="Candara"/>
          <w:sz w:val="20"/>
          <w:szCs w:val="20"/>
        </w:rPr>
        <w:fldChar w:fldCharType="separate"/>
      </w:r>
      <w:r w:rsidRPr="009C1430">
        <w:rPr>
          <w:rFonts w:ascii="Candara" w:hAnsi="Candara"/>
          <w:noProof/>
          <w:sz w:val="20"/>
          <w:szCs w:val="20"/>
        </w:rPr>
        <w:t>(2017)</w:t>
      </w:r>
      <w:r w:rsidRPr="009C1430">
        <w:rPr>
          <w:rFonts w:ascii="Candara" w:hAnsi="Candara"/>
          <w:sz w:val="20"/>
          <w:szCs w:val="20"/>
        </w:rPr>
        <w:fldChar w:fldCharType="end"/>
      </w:r>
      <w:r w:rsidRPr="009C1430">
        <w:rPr>
          <w:rFonts w:ascii="Candara" w:hAnsi="Candara"/>
          <w:sz w:val="20"/>
          <w:szCs w:val="20"/>
        </w:rPr>
        <w:t xml:space="preserve"> men</w:t>
      </w:r>
      <w:r w:rsidR="00D26605">
        <w:rPr>
          <w:rFonts w:ascii="Candara" w:hAnsi="Candara"/>
          <w:sz w:val="20"/>
          <w:szCs w:val="20"/>
        </w:rPr>
        <w:t>gungkapkan</w:t>
      </w:r>
      <w:r w:rsidRPr="009C1430">
        <w:rPr>
          <w:rFonts w:ascii="Candara" w:hAnsi="Candara"/>
          <w:sz w:val="20"/>
          <w:szCs w:val="20"/>
        </w:rPr>
        <w:t xml:space="preserve"> bahwa dukungan sosial tidak selalu efektif menurunkan dampak negatif dari diskriminasi dan isolasi sosial di mana kedua hal ini merupakan indikator seseorang tidak memiliki kesejahteraan sosial yang baik. </w:t>
      </w:r>
    </w:p>
    <w:p w14:paraId="2C3316E7" w14:textId="6B4CC128" w:rsidR="009C1430" w:rsidRPr="009C1430" w:rsidRDefault="009C1430" w:rsidP="0005725D">
      <w:pPr>
        <w:pBdr>
          <w:top w:val="nil"/>
          <w:left w:val="nil"/>
          <w:bottom w:val="nil"/>
          <w:right w:val="nil"/>
          <w:between w:val="nil"/>
        </w:pBdr>
        <w:spacing w:after="0" w:line="240" w:lineRule="auto"/>
        <w:ind w:right="154" w:firstLine="719"/>
        <w:jc w:val="both"/>
        <w:rPr>
          <w:rFonts w:ascii="Candara" w:hAnsi="Candara"/>
          <w:sz w:val="20"/>
          <w:szCs w:val="20"/>
        </w:rPr>
      </w:pPr>
      <w:r w:rsidRPr="009C1430">
        <w:rPr>
          <w:rFonts w:ascii="Candara" w:hAnsi="Candara"/>
          <w:sz w:val="20"/>
          <w:szCs w:val="20"/>
        </w:rPr>
        <w:t xml:space="preserve">Hasil penelitian menunjukkan keberagaman besaran nilai pengaruh antara varibael </w:t>
      </w:r>
      <w:r w:rsidRPr="009C1430">
        <w:rPr>
          <w:rFonts w:ascii="Candara" w:hAnsi="Candara"/>
          <w:i/>
          <w:iCs/>
          <w:sz w:val="20"/>
          <w:szCs w:val="20"/>
        </w:rPr>
        <w:t>peer social support</w:t>
      </w:r>
      <w:r w:rsidRPr="009C1430">
        <w:rPr>
          <w:rFonts w:ascii="Candara" w:hAnsi="Candara"/>
          <w:sz w:val="20"/>
          <w:szCs w:val="20"/>
        </w:rPr>
        <w:t xml:space="preserve"> dengan kesejahteraan. Inkonsistensi hasil temuan pada beberapa penelitian tersebut menunjukkan adanya faktor lain yang mempengaruhi </w:t>
      </w:r>
      <w:r w:rsidRPr="009C1430">
        <w:rPr>
          <w:rFonts w:ascii="Candara" w:hAnsi="Candara"/>
          <w:i/>
          <w:iCs/>
          <w:sz w:val="20"/>
          <w:szCs w:val="20"/>
        </w:rPr>
        <w:t>peer social support</w:t>
      </w:r>
      <w:r w:rsidRPr="009C1430">
        <w:rPr>
          <w:rFonts w:ascii="Candara" w:hAnsi="Candara"/>
          <w:sz w:val="20"/>
          <w:szCs w:val="20"/>
        </w:rPr>
        <w:t>. Salah satu faktor yang diduga menjadi variabel moderasi</w:t>
      </w:r>
      <w:r w:rsidRPr="009C1430">
        <w:rPr>
          <w:rFonts w:ascii="Candara" w:hAnsi="Candara"/>
          <w:i/>
          <w:iCs/>
          <w:sz w:val="20"/>
          <w:szCs w:val="20"/>
        </w:rPr>
        <w:t xml:space="preserve"> peer social support </w:t>
      </w:r>
      <w:r w:rsidRPr="009C1430">
        <w:rPr>
          <w:rFonts w:ascii="Candara" w:hAnsi="Candara"/>
          <w:sz w:val="20"/>
          <w:szCs w:val="20"/>
        </w:rPr>
        <w:t xml:space="preserve">terhadap </w:t>
      </w:r>
      <w:r w:rsidRPr="009C1430">
        <w:rPr>
          <w:rFonts w:ascii="Candara" w:hAnsi="Candara"/>
          <w:i/>
          <w:iCs/>
          <w:sz w:val="20"/>
          <w:szCs w:val="20"/>
        </w:rPr>
        <w:t>social well-being</w:t>
      </w:r>
      <w:r w:rsidRPr="009C1430">
        <w:rPr>
          <w:rFonts w:ascii="Candara" w:hAnsi="Candara"/>
          <w:sz w:val="20"/>
          <w:szCs w:val="20"/>
        </w:rPr>
        <w:t xml:space="preserve"> antara lain keluarga dan sekolah </w:t>
      </w:r>
      <w:r w:rsidRPr="009C1430">
        <w:rPr>
          <w:rFonts w:ascii="Candara" w:hAnsi="Candara"/>
          <w:sz w:val="20"/>
          <w:szCs w:val="20"/>
        </w:rPr>
        <w:fldChar w:fldCharType="begin" w:fldLock="1"/>
      </w:r>
      <w:r w:rsidR="00A265CC">
        <w:rPr>
          <w:rFonts w:ascii="Candara" w:hAnsi="Candara"/>
          <w:sz w:val="20"/>
          <w:szCs w:val="20"/>
        </w:rPr>
        <w:instrText>ADDIN CSL_CITATION {"citationItems":[{"id":"ITEM-1","itemData":{"DOI":"https://doi.org/10.1080/2372966X.2024.2361615","abstract":"This study utilized data from a national survey on student health/well-being to examine the complex interrelations between bullying, social-emotional well-being, student-parent relationship quality, and feelings about school among immigrant youth in grades 7–10 from a strength-based perspective. Using structural equation modeling, we explored the moderating role of the quality of relationship between parents and youth on the link between bullying and emotional distress, as well as between bullying and social well-being, and how feelings about school influenced levels of emotional distress and social well-being in immigrant students. Analyses revealed significant relationships between all constructs, and that the quality of immigrant students’ relationships with parents and their feelings about school moderated the link between bullying and low emotional distress, but not social well-being. These findings suggest that interventions and policies focusing on two key microsystems surrounding immigrant youth—the home and school context—may minimize the adverse effects of bullying.","author":[{"dropping-particle":"al","family":"Nicholas L","given":"Scheel. Adam P. Natoli. Hillary A. Langley. &amp; Gulden et","non-dropping-particle":"","parse-names":false,"suffix":""}],"container-title":"School Psychology Review","id":"ITEM-1","issued":{"date-parts":[["2024"]]},"title":"Bullied Immigrant Youth, Emotional Distress, and Social Well-Being: Moderating Roles of Family and School","type":"article-journal"},"uris":["http://www.mendeley.com/documents/?uuid=8debaa15-77b3-465f-9af1-7743537b8ea3"]}],"mendeley":{"formattedCitation":"(Nicholas L 2024)","plainTextFormattedCitation":"(Nicholas L 2024)","previouslyFormattedCitation":"(Nicholas L 2024)"},"properties":{"noteIndex":0},"schema":"https://github.com/citation-style-language/schema/raw/master/csl-citation.json"}</w:instrText>
      </w:r>
      <w:r w:rsidRPr="009C1430">
        <w:rPr>
          <w:rFonts w:ascii="Candara" w:hAnsi="Candara"/>
          <w:sz w:val="20"/>
          <w:szCs w:val="20"/>
        </w:rPr>
        <w:fldChar w:fldCharType="separate"/>
      </w:r>
      <w:r w:rsidR="00AD0D51" w:rsidRPr="00AD0D51">
        <w:rPr>
          <w:rFonts w:ascii="Candara" w:hAnsi="Candara"/>
          <w:noProof/>
          <w:sz w:val="20"/>
          <w:szCs w:val="20"/>
        </w:rPr>
        <w:t>(Nicholas L 2024)</w:t>
      </w:r>
      <w:r w:rsidRPr="009C1430">
        <w:rPr>
          <w:rFonts w:ascii="Candara" w:hAnsi="Candara"/>
          <w:sz w:val="20"/>
          <w:szCs w:val="20"/>
        </w:rPr>
        <w:fldChar w:fldCharType="end"/>
      </w:r>
      <w:r w:rsidRPr="009C1430">
        <w:rPr>
          <w:rFonts w:ascii="Candara" w:hAnsi="Candara"/>
          <w:sz w:val="20"/>
          <w:szCs w:val="20"/>
        </w:rPr>
        <w:t xml:space="preserve">, </w:t>
      </w:r>
      <w:r w:rsidRPr="009C1430">
        <w:rPr>
          <w:rFonts w:ascii="Candara" w:hAnsi="Candara"/>
          <w:i/>
          <w:iCs/>
          <w:sz w:val="20"/>
          <w:szCs w:val="20"/>
        </w:rPr>
        <w:t xml:space="preserve">savoring </w:t>
      </w:r>
      <w:r w:rsidRPr="009C1430">
        <w:rPr>
          <w:rFonts w:ascii="Candara" w:hAnsi="Candara"/>
          <w:i/>
          <w:iCs/>
          <w:sz w:val="20"/>
          <w:szCs w:val="20"/>
        </w:rPr>
        <w:fldChar w:fldCharType="begin" w:fldLock="1"/>
      </w:r>
      <w:r w:rsidR="00A265CC">
        <w:rPr>
          <w:rFonts w:ascii="Candara" w:hAnsi="Candara"/>
          <w:i/>
          <w:iCs/>
          <w:sz w:val="20"/>
          <w:szCs w:val="20"/>
        </w:rPr>
        <w:instrText>ADDIN CSL_CITATION {"citationItems":[{"id":"ITEM-1","itemData":{"DOI":"10.1080/17439760.2012.671345","ISSN":"17439760","abstract":"Bryant and Veroff (2007, Savoring: A new model of positive experience. Mahwah, NJ: Lawrence Erlbaum Associates) have proposed that savoring, namely, regulating the emotional impact of positive events by one's cognitive or behavioral responses, increases happiness. The present study was designed to determine whether and how savoring influences daily happiness. Experience sampling methodology was used with 101 participants, who provided self-reports of their momentary positive events, savoring responses, and positive affect daily over a period of 30 days. Multilevel modeling analyses verified that (a) these three constructs were positively related to each other within a given day, (b) momentary savoring both mediated and moderated the impact of daily positive events on momentary happy mood, and (c) levels of trait savoring moderated the observed mediational pattern. These results provide support for the hypothesis that savoring is an important mechanism through which people derive happiness from positive events. © 2012 Copyright Taylor and Francis Group, LLC.","author":[{"dropping-particle":"","family":"Jose","given":"Paul E.","non-dropping-particle":"","parse-names":false,"suffix":""},{"dropping-particle":"","family":"Lim","given":"Bee T.","non-dropping-particle":"","parse-names":false,"suffix":""},{"dropping-particle":"","family":"Bryant","given":"Fred B.","non-dropping-particle":"","parse-names":false,"suffix":""}],"container-title":"Journal of Positive Psychology","id":"ITEM-1","issue":"3","issued":{"date-parts":[["2012"]]},"page":"176-187","title":"Does savoring increase happiness? A daily diary study","type":"article-journal","volume":"7"},"uris":["http://www.mendeley.com/documents/?uuid=8120642e-7df4-46ae-afcf-7651d0d90126"]}],"mendeley":{"formattedCitation":"(Jose, Lim, and Bryant 2012)","manualFormatting":"(Jose et al., 2012)","plainTextFormattedCitation":"(Jose, Lim, and Bryant 2012)","previouslyFormattedCitation":"(Jose, Lim, and Bryant 2012)"},"properties":{"noteIndex":0},"schema":"https://github.com/citation-style-language/schema/raw/master/csl-citation.json"}</w:instrText>
      </w:r>
      <w:r w:rsidRPr="009C1430">
        <w:rPr>
          <w:rFonts w:ascii="Candara" w:hAnsi="Candara"/>
          <w:i/>
          <w:iCs/>
          <w:sz w:val="20"/>
          <w:szCs w:val="20"/>
        </w:rPr>
        <w:fldChar w:fldCharType="separate"/>
      </w:r>
      <w:r w:rsidRPr="009C1430">
        <w:rPr>
          <w:rFonts w:ascii="Candara" w:hAnsi="Candara"/>
          <w:iCs/>
          <w:noProof/>
          <w:sz w:val="20"/>
          <w:szCs w:val="20"/>
        </w:rPr>
        <w:t>(Jose et al., 2012)</w:t>
      </w:r>
      <w:r w:rsidRPr="009C1430">
        <w:rPr>
          <w:rFonts w:ascii="Candara" w:hAnsi="Candara"/>
          <w:i/>
          <w:iCs/>
          <w:sz w:val="20"/>
          <w:szCs w:val="20"/>
        </w:rPr>
        <w:fldChar w:fldCharType="end"/>
      </w:r>
      <w:r w:rsidRPr="009C1430">
        <w:rPr>
          <w:rFonts w:ascii="Candara" w:hAnsi="Candara"/>
          <w:i/>
          <w:iCs/>
          <w:sz w:val="20"/>
          <w:szCs w:val="20"/>
        </w:rPr>
        <w:t xml:space="preserve">, </w:t>
      </w:r>
      <w:r w:rsidRPr="009C1430">
        <w:rPr>
          <w:rFonts w:ascii="Candara" w:hAnsi="Candara"/>
          <w:sz w:val="20"/>
          <w:szCs w:val="20"/>
        </w:rPr>
        <w:t xml:space="preserve">dan </w:t>
      </w:r>
      <w:r w:rsidRPr="009C1430">
        <w:rPr>
          <w:rFonts w:ascii="Candara" w:hAnsi="Candara"/>
          <w:i/>
          <w:iCs/>
          <w:sz w:val="20"/>
          <w:szCs w:val="20"/>
        </w:rPr>
        <w:t>big five personality</w:t>
      </w:r>
      <w:r w:rsidRPr="009C1430">
        <w:rPr>
          <w:rFonts w:ascii="Candara" w:hAnsi="Candara"/>
          <w:sz w:val="20"/>
          <w:szCs w:val="20"/>
        </w:rPr>
        <w:t xml:space="preserve"> </w:t>
      </w:r>
      <w:r w:rsidRPr="009C1430">
        <w:rPr>
          <w:rFonts w:ascii="Candara" w:hAnsi="Candara"/>
          <w:sz w:val="20"/>
          <w:szCs w:val="20"/>
        </w:rPr>
        <w:fldChar w:fldCharType="begin" w:fldLock="1"/>
      </w:r>
      <w:r w:rsidR="00A265CC">
        <w:rPr>
          <w:rFonts w:ascii="Candara" w:hAnsi="Candara"/>
          <w:sz w:val="20"/>
          <w:szCs w:val="20"/>
        </w:rPr>
        <w:instrText>ADDIN CSL_CITATION {"citationItems":[{"id":"ITEM-1","itemData":{"DOI":"10.3389/fpsyg.2020.613659","ISSN":"16641078","abstract":"Previous studies have noted that personality traits are important predictors of well-being, but how big five personality influences social well-being is still unknown. This study aims to examine the link between big five personality and five dimensions of social well-being in the Chinese cultural context and whether social support can play the mediating effect in the process. This study included 1,658 participants from different communities in China, and regression analyses were conducted. Results revealed that five personality traits were significantly related to overall social well-being; extraversion was significantly related to social integration; agreeableness was positively related to all five dimensions of social well-being; conscientiousness was positively related to social actualization, social coherence, and social contribution; neuroticism was negatively related to social integration, social acceptance, social actualization, and social coherence; openness was positively related to social integration, social acceptance, social coherence, and social contribution. Social support plays mediating roles in the relationships between extraversion/agreeableness/conscientiousness/neuroticism/openness and social well-being, respectively.","author":[{"dropping-particle":"","family":"Yu","given":"Yanghang","non-dropping-particle":"","parse-names":false,"suffix":""},{"dropping-particle":"","family":"Zhao","given":"Yuanyuan","non-dropping-particle":"","parse-names":false,"suffix":""},{"dropping-particle":"","family":"Li","given":"Dongyan","non-dropping-particle":"","parse-names":false,"suffix":""},{"dropping-particle":"","family":"Zhang","given":"Jingqiu","non-dropping-particle":"","parse-names":false,"suffix":""},{"dropping-particle":"","family":"Li","given":"Jiewei","non-dropping-particle":"","parse-names":false,"suffix":""}],"container-title":"Frontiers in Psychology","id":"ITEM-1","issue":"March","issued":{"date-parts":[["2021"]]},"title":"The Relationship Between Big Five Personality and Social Well-Being of Chinese Residents: The Mediating Effect of Social Support","type":"article-journal","volume":"11"},"uris":["http://www.mendeley.com/documents/?uuid=01030e3a-227e-401d-9947-ba3a099d9e9f"]}],"mendeley":{"formattedCitation":"(Yu et al. 2021)","plainTextFormattedCitation":"(Yu et al. 2021)","previouslyFormattedCitation":"(Yu et al. 2021)"},"properties":{"noteIndex":0},"schema":"https://github.com/citation-style-language/schema/raw/master/csl-citation.json"}</w:instrText>
      </w:r>
      <w:r w:rsidRPr="009C1430">
        <w:rPr>
          <w:rFonts w:ascii="Candara" w:hAnsi="Candara"/>
          <w:sz w:val="20"/>
          <w:szCs w:val="20"/>
        </w:rPr>
        <w:fldChar w:fldCharType="separate"/>
      </w:r>
      <w:r w:rsidR="00AD0D51" w:rsidRPr="00AD0D51">
        <w:rPr>
          <w:rFonts w:ascii="Candara" w:hAnsi="Candara"/>
          <w:noProof/>
          <w:sz w:val="20"/>
          <w:szCs w:val="20"/>
        </w:rPr>
        <w:t>(Yu et al. 2021)</w:t>
      </w:r>
      <w:r w:rsidRPr="009C1430">
        <w:rPr>
          <w:rFonts w:ascii="Candara" w:hAnsi="Candara"/>
          <w:sz w:val="20"/>
          <w:szCs w:val="20"/>
        </w:rPr>
        <w:fldChar w:fldCharType="end"/>
      </w:r>
      <w:r w:rsidRPr="009C1430">
        <w:rPr>
          <w:rFonts w:ascii="Candara" w:hAnsi="Candara"/>
          <w:sz w:val="20"/>
          <w:szCs w:val="20"/>
        </w:rPr>
        <w:t xml:space="preserve">. </w:t>
      </w:r>
      <w:r w:rsidRPr="009C1430">
        <w:rPr>
          <w:rFonts w:ascii="Candara" w:hAnsi="Candara"/>
          <w:i/>
          <w:iCs/>
          <w:sz w:val="20"/>
          <w:szCs w:val="20"/>
        </w:rPr>
        <w:t>Savoring</w:t>
      </w:r>
      <w:r w:rsidRPr="009C1430">
        <w:rPr>
          <w:rFonts w:ascii="Candara" w:hAnsi="Candara"/>
          <w:sz w:val="20"/>
          <w:szCs w:val="20"/>
        </w:rPr>
        <w:t xml:space="preserve"> dapat menjadi variabel moderator atas pengaruh </w:t>
      </w:r>
      <w:r w:rsidRPr="009C1430">
        <w:rPr>
          <w:rFonts w:ascii="Candara" w:hAnsi="Candara"/>
          <w:i/>
          <w:iCs/>
          <w:sz w:val="20"/>
          <w:szCs w:val="20"/>
        </w:rPr>
        <w:t>peer social support</w:t>
      </w:r>
      <w:r w:rsidRPr="009C1430">
        <w:rPr>
          <w:rFonts w:ascii="Candara" w:hAnsi="Candara"/>
          <w:sz w:val="20"/>
          <w:szCs w:val="20"/>
        </w:rPr>
        <w:t xml:space="preserve"> terhadap </w:t>
      </w:r>
      <w:r w:rsidRPr="009C1430">
        <w:rPr>
          <w:rFonts w:ascii="Candara" w:hAnsi="Candara"/>
          <w:i/>
          <w:iCs/>
          <w:sz w:val="20"/>
          <w:szCs w:val="20"/>
        </w:rPr>
        <w:t>social well-being</w:t>
      </w:r>
      <w:r w:rsidRPr="009C1430">
        <w:rPr>
          <w:rFonts w:ascii="Candara" w:hAnsi="Candara"/>
          <w:sz w:val="20"/>
          <w:szCs w:val="20"/>
        </w:rPr>
        <w:t xml:space="preserve">. Hal ini dikarenakan </w:t>
      </w:r>
      <w:r w:rsidRPr="009C1430">
        <w:rPr>
          <w:rFonts w:ascii="Candara" w:hAnsi="Candara"/>
          <w:i/>
          <w:iCs/>
          <w:sz w:val="20"/>
          <w:szCs w:val="20"/>
        </w:rPr>
        <w:t>savoring</w:t>
      </w:r>
      <w:r w:rsidRPr="009C1430">
        <w:rPr>
          <w:rFonts w:ascii="Candara" w:hAnsi="Candara"/>
          <w:sz w:val="20"/>
          <w:szCs w:val="20"/>
        </w:rPr>
        <w:t xml:space="preserve"> melibatkan pengaturan diri dari perasaan positif untuk menghasilkan, mempertahankan dan meningkatkan efek positif dengan memperhatikan pengalaman menikmati (proses, strategi dan  keyakinan) masa lalu, sekarang dan masa depan </w:t>
      </w:r>
      <w:r w:rsidRPr="009C1430">
        <w:rPr>
          <w:rFonts w:ascii="Candara" w:hAnsi="Candara"/>
          <w:sz w:val="20"/>
          <w:szCs w:val="20"/>
        </w:rPr>
        <w:fldChar w:fldCharType="begin" w:fldLock="1"/>
      </w:r>
      <w:r w:rsidR="00A265CC">
        <w:rPr>
          <w:rFonts w:ascii="Candara" w:hAnsi="Candara"/>
          <w:sz w:val="20"/>
          <w:szCs w:val="20"/>
        </w:rPr>
        <w:instrText>ADDIN CSL_CITATION {"citationItems":[{"id":"ITEM-1","itemData":{"DOI":"10.1111/j.1467-6494.1989.tb00494.x","ISSN":"14676494","abstract":"ABSTRACT This study provides evidence that people evaluate their control over events and over feelings separately with respect to both positive and negative experiences Confirmatory factor analyses revealed that subjects made separate self‐evaluations of control regarding their ability to a avoid negative outcomes, b cope with negative outcomes, (c) obtain positive outcomes, and d savor positive outcomes In addition, beliefs about avoiding and obtaining were more highly correlated (r = 50) than were beliefs about coping and savoring (r= 27) It is argued that coping and savoring involve different sets of cognitive and behavioral skills Multiple regression analyses generally indicated that beliefs about avoiding and coping related more strongly to measures of subjective distress, whereas beliefs about obtaining and strongly related more strongly to measures of subjective well‐being These four control beliefs are discussed in relation to other conceptual models of control, and ways in which savoring may promote perceived control are described Copyright © 1989, Wiley Blackwell. All rights reserved","author":[{"dropping-particle":"","family":"Bryant","given":"Fred B.","non-dropping-particle":"","parse-names":false,"suffix":""}],"container-title":"Journal of Personality","id":"ITEM-1","issue":"4","issued":{"date-parts":[["1989"]]},"page":"773-797","title":"A Four‐Factor Model of Perceived Control: Avoiding, Coping, Obtaining, and Savoring","type":"article-journal","volume":"57"},"uris":["http://www.mendeley.com/documents/?uuid=852663bb-01b1-43a1-b710-91e7ad4ed66d"]},{"id":"ITEM-2","itemData":{"DOI":"10.1080/0963823031000103489","ISSN":"09638237","abstract":"Background: Research has shown that beliefs about one's capacity to savour positive outcomes, a form of perceived control over positive emotions, are largely independent of beliefs about coping, a form of perceived control over negative emotions. Aim: To describe a new measure of savouring beliefs, the Savoring Beliefs Inventory (SBI). Method: Six studies validating the SBI that is designed to assess individuals' perceptions of their ability to derive pleasure through anticipating upcoming positive events, savouring positive moments, and reminiscing about past positive experiences. Results: SBI scores were found to be: (a) positively correlated with affect intensity, extraversion, optimism, internal locus of control, reported self-control behaviours, life satisfaction, value fulfilment, self-esteem, and intensity and frequency of happiness; (b) negatively correlated with neuroticism, guilt, physical and social anhedonia, hopelessness, depression, and the frequency of unhappy and neutral affect; and (c) uncorrelated with socially desirable responding. SBI was validated prospectively by first measuring college students' savouring beliefs and then later assessing their behaviours and affects in looking forward to, enjoying the actual experience of, and looking back on their Christmas vacation. Within each of the three time frames, the relevant SBI subscale generally predicted behaviours and affects more strongly than did the subscales associated with the other two temporal orientations. Finally, SBI was cross-validated in a sample of older adults. Conclusion: These results provide strong evidence that the SBI is a valid and reliable measure of individuals' beliefs about their capacity to savour positive experiences through anticipation, present enjoyment, and reminiscence.","author":[{"dropping-particle":"","family":"Bryant","given":"Fred B.","non-dropping-particle":"","parse-names":false,"suffix":""}],"container-title":"Journal of Mental Health","id":"ITEM-2","issue":"2","issued":{"date-parts":[["2003"]]},"page":"175-196","title":"Savoring Beliefs Inventory (SBI): A scale for measuring beliefs about savouring","type":"article-journal","volume":"12"},"uris":["http://www.mendeley.com/documents/?uuid=8f81cf66-37dd-458f-bf8f-5e8c3acc0ecf"]},{"id":"ITEM-3","itemData":{"abstract":"This book is about savoring life--the capacity to attend to the joys, pleasures, and other positive feelings that we experience in our lives. The authors enhance our understanding of what savoring is and the conditions under which it occurs. Sarvoring provides a new theoretical model for conceptualizing and understanding the psychology of enjoyment and the processes through which people manage positive emotions. The authors review their quantitative research on savoring, as well as the research of others, and provide measurement instruments with scoring instructions for assessing and studying savoring. Authors Bryant and Veroff outline the necessary preconditions that must exist for savoring to occur and distinguish savoring from related concepts such as coping, pleasure, positive affect, emotional intelligence, flow, and meditation. The book's lifespan perspective includes a conceptual analysis of the role of time in savoring. Savoring is also considered in relation to human concerns, such as love, friendship, physical and mental health, creativity, and spirituality. Strategies and hands-on exercises that people can use to enhance savoring in their lives are provided, along with a review of factors that enhance savoring. Savoring is intended for researchers, students, and practitioners interested in positive psychology from the fields of social, clinical, health, and personality psychology and related disciplines. The book may serve as a supplemental text in courses on positive psychology, emotion and motivation, and other related topics. The chapters on enhancing savoring will be especially attractive to clinicians and counselors interested in intervention strategies for positive psychological adjustment. (PsycInfo Database Record (c) 2023 APA, all rights reserved)","author":[{"dropping-particle":"","family":"Bryant, F. B., &amp; Veroff","given":"J","non-dropping-particle":"","parse-names":false,"suffix":""}],"id":"ITEM-3","issued":{"date-parts":[["2007"]]},"publisher":"Lawrence Erlbaum Associates Publishers.","title":"Savoring: A new model of positive experience","type":"book"},"uris":["http://www.mendeley.com/documents/?uuid=7a5bcd0b-6bae-489b-872f-1080edfd3043"]},{"id":"ITEM-4","itemData":{"DOI":"10.1016/j.paid.2010.03.048","ISSN":"01918869","abstract":"Although previous research has uncovered various ways people can savor or dampen their positive emotional experiences, the unique impact of each of these strategies on well-being remains unknown. The present study examines the relative impact of the main positive emotion regulation strategies on two components of well-being: positive affect (PA) and life satisfaction (LS). A total of 282 participants completed measures of PA, LS, overall happiness, and the savoring and dampening strategies they typically used. Results show that when experiencing positive events, focusing attention on the present moment and engaging in positive rumination promoted PA, whereas telling others promoted LS. In contrast, being distracted diminished PA, while focusing on negative details and engaging in negative rumination reduced LS. As the strategies targeted different components of well-being, our results further show that regulatory diversity (i.e., typically using various strategies rather than a few specific ones), was beneficial to overall happiness. Our findings suggest that there are several independent ways to make the best (or the worst) out of our positive emotions, and that the cultivation of multiple savoring strategies might be required to achieve lasting happiness. © 2010 Elsevier Ltd.","author":[{"dropping-particle":"","family":"Quoidbach","given":"Jordi","non-dropping-particle":"","parse-names":false,"suffix":""},{"dropping-particle":"V.","family":"Berry","given":"Elizabeth","non-dropping-particle":"","parse-names":false,"suffix":""},{"dropping-particle":"","family":"Hansenne","given":"Michel","non-dropping-particle":"","parse-names":false,"suffix":""},{"dropping-particle":"","family":"Mikolajczak","given":"Moïra","non-dropping-particle":"","parse-names":false,"suffix":""}],"container-title":"Personality and Individual Differences","id":"ITEM-4","issue":"5","issued":{"date-parts":[["2010"]]},"page":"368-373","title":"Positive emotion regulation and well-being: Comparing the impact of eight savoring and dampening strategies","type":"article-journal","volume":"49"},"uris":["http://www.mendeley.com/documents/?uuid=c4cee83a-301b-4cda-a707-81980e3a2ff7"]}],"mendeley":{"formattedCitation":"(Bryant, F. B., &amp; Veroff 2007; Bryant 1989, 2003; Quoidbach et al. 2010)","manualFormatting":"(Bryant, &amp; Veroff, 2007; Bryant, 1989, 2003; Quoidbach et al., 2010)","plainTextFormattedCitation":"(Bryant, F. B., &amp; Veroff 2007; Bryant 1989, 2003; Quoidbach et al. 2010)","previouslyFormattedCitation":"(Bryant, F. B., &amp; Veroff 2007; Bryant 1989, 2003; Quoidbach et al. 2010)"},"properties":{"noteIndex":0},"schema":"https://github.com/citation-style-language/schema/raw/master/csl-citation.json"}</w:instrText>
      </w:r>
      <w:r w:rsidRPr="009C1430">
        <w:rPr>
          <w:rFonts w:ascii="Candara" w:hAnsi="Candara"/>
          <w:sz w:val="20"/>
          <w:szCs w:val="20"/>
        </w:rPr>
        <w:fldChar w:fldCharType="separate"/>
      </w:r>
      <w:r w:rsidRPr="009C1430">
        <w:rPr>
          <w:rFonts w:ascii="Candara" w:hAnsi="Candara"/>
          <w:noProof/>
          <w:sz w:val="20"/>
          <w:szCs w:val="20"/>
        </w:rPr>
        <w:t>(Bryant, &amp; Veroff, 2007; Bryant, 1989, 2003; Quoidbach et al., 2010)</w:t>
      </w:r>
      <w:r w:rsidRPr="009C1430">
        <w:rPr>
          <w:rFonts w:ascii="Candara" w:hAnsi="Candara"/>
          <w:sz w:val="20"/>
          <w:szCs w:val="20"/>
        </w:rPr>
        <w:fldChar w:fldCharType="end"/>
      </w:r>
      <w:r w:rsidRPr="009C1430">
        <w:rPr>
          <w:rFonts w:ascii="Candara" w:hAnsi="Candara"/>
          <w:sz w:val="20"/>
          <w:szCs w:val="20"/>
        </w:rPr>
        <w:t xml:space="preserve">. </w:t>
      </w:r>
      <w:r w:rsidRPr="009C1430">
        <w:rPr>
          <w:rFonts w:ascii="Candara" w:hAnsi="Candara"/>
          <w:i/>
          <w:iCs/>
          <w:sz w:val="20"/>
          <w:szCs w:val="20"/>
        </w:rPr>
        <w:t xml:space="preserve">Savoring </w:t>
      </w:r>
      <w:r w:rsidRPr="009C1430">
        <w:rPr>
          <w:rFonts w:ascii="Candara" w:hAnsi="Candara"/>
          <w:sz w:val="20"/>
          <w:szCs w:val="20"/>
        </w:rPr>
        <w:t xml:space="preserve">juga dapat meningkatkan kebahagiaan </w:t>
      </w:r>
      <w:r w:rsidRPr="009C1430">
        <w:rPr>
          <w:rFonts w:ascii="Candara" w:hAnsi="Candara"/>
          <w:sz w:val="20"/>
          <w:szCs w:val="20"/>
        </w:rPr>
        <w:fldChar w:fldCharType="begin" w:fldLock="1"/>
      </w:r>
      <w:r w:rsidR="00A265CC">
        <w:rPr>
          <w:rFonts w:ascii="Candara" w:hAnsi="Candara"/>
          <w:sz w:val="20"/>
          <w:szCs w:val="20"/>
        </w:rPr>
        <w:instrText>ADDIN CSL_CITATION {"citationItems":[{"id":"ITEM-1","itemData":{"abstract":"The rapid growth of the literature on positive interventions to increase \" happiness \" has suggested the need for an overarching conceptual framework to integrate the many and apparently disparate findings. In this review, we used the process model of emotion regulation (Gross, 1998) to organize the existing literature on positive interventions and to advance theory by clarifying the mechanisms underlying their effectiveness. We have proposed that positive emotions can be increased both in the short-and longer-term through 5 families of emotion regulation strategies (i.e., situation selection, situation modification, attentional deployment, cognitive change, and response modulation), showing how these emotion regulation strategies can be applied before, during, and after positive emotional events. Regarding short-term increases in positive emotions, our review found that attentional deployment, cognitive change, and response modulation strategies have received the most empirical support, whereas more work is needed to establish the effectiveness of situation selection and situation modification strategies. Regarding longer-term increases in positive emotions, strategies such as situation selection during an event and attentional deployment before, during, and after an event have received strong empirical support and are at the center of many positive interventions. However, more work is needed to establish the specific benefits of the other strategies, especially situation modification. We argue that our emotion regulation framework clarifies existing interventions and points the way for new interven-tions that might be used to increase positive emotions in both nonclinical and clinical populations.","author":[{"dropping-particle":"","family":"Quoidbach","given":"Jordi","non-dropping-particle":"","parse-names":false,"suffix":""},{"dropping-particle":"","family":"Gross","given":"James J","non-dropping-particle":"","parse-names":false,"suffix":""}],"container-title":"Psychological Bulletin","id":"ITEM-1","issue":"2","issued":{"date-parts":[["2015"]]},"page":"25-27","title":"Psychological Bulletin Positive Interventions : An Emotion Regulation Perspective Positive Interventions : An Emotion Regulation Perspective","type":"article-journal","volume":"141"},"uris":["http://www.mendeley.com/documents/?uuid=8323d970-f4d8-49f9-8e70-41c9e1cd647f"]},{"id":"ITEM-2","itemData":{"DOI":"10.1080/13607863.2018.1471585","ISSN":"13646915","PMID":"29781723","abstract":"Objetive: The present study aimed to compare the efficacy of three separate strengths training-based interventions–Gratitude, Savoring, and Optimism–in older adults. Method: The sample comprised 124 older adults, namely, 74 women and 50 men, non-institutionalized individuals who regularly attend day centers in the provinces of Jaén and Córdoba, southern Spain. Their ages ranged between 60 and 89 years. The measures used were Anxiety, Depression, Life Satisfaction, Positive and Negative Affect, Subjective Happiness, and Resilience. Results: Training in Gratitude and Savoring increased scores in Life Satisfaction, Positive Affect, Subjective Happiness and Resilience, and reduced Negative Affect, whereas training in Optimism failed to produce a significant change in these variables. The Savoring and Optimism interventions decreased scores in Depression but, contrary to hypothesis, this was not the case for Gratitude. Conclusion: These results represent an important step in understanding what type of strengths work best when it comes to enhancing well-being in older adults and consequently helping them tackle the challenges of everyday life and recover as quickly as possible from the adverse situations and events that may arise.","author":[{"dropping-particle":"","family":"Salces-Cubero","given":"Isabel María","non-dropping-particle":"","parse-names":false,"suffix":""},{"dropping-particle":"","family":"Ramírez-Fernández","given":"Encarnación","non-dropping-particle":"","parse-names":false,"suffix":""},{"dropping-particle":"","family":"Ortega-Martínez","given":"Ana Raquel","non-dropping-particle":"","parse-names":false,"suffix":""}],"container-title":"Aging and Mental Health","id":"ITEM-2","issue":"8","issued":{"date-parts":[["2019"]]},"page":"1017-1024","publisher":"Taylor &amp; Francis","title":"Strengths in older adults: differential effect of savoring, gratitude and optimism on well-being","type":"article-journal","volume":"23"},"uris":["http://www.mendeley.com/documents/?uuid=ec3832b0-6f08-4d11-bf48-ccc32bd039da"]}],"mendeley":{"formattedCitation":"(Quoidbach and Gross 2015; Salces-Cubero, Ramírez-Fernández, and Ortega-Martínez 2019)","plainTextFormattedCitation":"(Quoidbach and Gross 2015; Salces-Cubero, Ramírez-Fernández, and Ortega-Martínez 2019)","previouslyFormattedCitation":"(Quoidbach and Gross 2015; Salces-Cubero, Ramírez-Fernández, and Ortega-Martínez 2019)"},"properties":{"noteIndex":0},"schema":"https://github.com/citation-style-language/schema/raw/master/csl-citation.json"}</w:instrText>
      </w:r>
      <w:r w:rsidRPr="009C1430">
        <w:rPr>
          <w:rFonts w:ascii="Candara" w:hAnsi="Candara"/>
          <w:sz w:val="20"/>
          <w:szCs w:val="20"/>
        </w:rPr>
        <w:fldChar w:fldCharType="separate"/>
      </w:r>
      <w:r w:rsidR="00AD0D51" w:rsidRPr="00AD0D51">
        <w:rPr>
          <w:rFonts w:ascii="Candara" w:hAnsi="Candara"/>
          <w:noProof/>
          <w:sz w:val="20"/>
          <w:szCs w:val="20"/>
        </w:rPr>
        <w:t>(Quoidbach and Gross 2015; Salces-Cubero, Ramírez-Fernández, and Ortega-Martínez 2019)</w:t>
      </w:r>
      <w:r w:rsidRPr="009C1430">
        <w:rPr>
          <w:rFonts w:ascii="Candara" w:hAnsi="Candara"/>
          <w:sz w:val="20"/>
          <w:szCs w:val="20"/>
        </w:rPr>
        <w:fldChar w:fldCharType="end"/>
      </w:r>
      <w:r w:rsidRPr="009C1430">
        <w:rPr>
          <w:rFonts w:ascii="Candara" w:hAnsi="Candara"/>
          <w:sz w:val="20"/>
          <w:szCs w:val="20"/>
        </w:rPr>
        <w:t xml:space="preserve">. Namun, perlu diperhatikan bahwa fokus berlebihan pada perasaan positif atau </w:t>
      </w:r>
      <w:r w:rsidRPr="009C1430">
        <w:rPr>
          <w:rFonts w:ascii="Candara" w:hAnsi="Candara"/>
          <w:i/>
          <w:iCs/>
          <w:sz w:val="20"/>
          <w:szCs w:val="20"/>
        </w:rPr>
        <w:t xml:space="preserve">savoring </w:t>
      </w:r>
      <w:r w:rsidRPr="009C1430">
        <w:rPr>
          <w:rFonts w:ascii="Candara" w:hAnsi="Candara"/>
          <w:sz w:val="20"/>
          <w:szCs w:val="20"/>
        </w:rPr>
        <w:t xml:space="preserve">menghasilkan efek samping yang tidak diinginkan, seperti melemahnya perasaan positif itu sendiri </w:t>
      </w:r>
      <w:r w:rsidRPr="009C1430">
        <w:rPr>
          <w:rFonts w:ascii="Candara" w:hAnsi="Candara"/>
          <w:sz w:val="20"/>
          <w:szCs w:val="20"/>
        </w:rPr>
        <w:fldChar w:fldCharType="begin" w:fldLock="1"/>
      </w:r>
      <w:r w:rsidR="00A265CC">
        <w:rPr>
          <w:rFonts w:ascii="Candara" w:hAnsi="Candara"/>
          <w:sz w:val="20"/>
          <w:szCs w:val="20"/>
        </w:rPr>
        <w:instrText>ADDIN CSL_CITATION {"citationItems":[{"id":"ITEM-1","itemData":{"DOI":"10.3389/fpsyg.2021.771698","ISSN":"16641078","abstract":"As research on savoring has increased dramatically since publication of the book Savoring: A New Model of Positive Experience (Bryant and Veroff, 2007), savoring has gradually become a core concept in positive psychology. I begin by reviewing the evolution of this concept, the development of instruments for assessing savoring ability and savoring strategies, and the wide range of applications of savoring in the psychosocial and health sciences. I then consider important directions for future theory and research. To advance our understanding of how naturalistic savoring unfolds over time, future work should integrate the perceptual judgments involved in not only the later stages of attending to and regulating positive experience (where past research has concentrated), but also the initial stages of searching for and noticing positive stimuli. Whereas most research has investigated reactive savoring, which occurs spontaneously in response to positive events or feelings, future work is also needed on proactive savoring, which begins with the deliberate act of seeking out or creating positive stimuli. To advance the measurement of savoring-related constructs, I recommend future work move beyond retrospective self-report methods toward the assessment of savoring as it occurs in real-time. The development of new methods of measuring meta-awareness and the regulation of attentional focus are crucial to advancing our understanding of savoring processes. I review recent research on the neurobiological correlates of savoring and suggest future directions in which to expand such work. I highlight the need for research aimed at unraveling the developmental processes through which savoring skills and deficits evolve and the role that savoring impairments play in the etiology and maintenance of psychopathology. Research is also needed to learn more about what enhances savoring, and to disentangle how people regulate the intensity versus duration of positive emotions. Finally, I encourage future researchers to integrate the study of anticipation, savoring the moment, and reminiscence within individuals across time.","author":[{"dropping-particle":"","family":"Bryant","given":"Fred B.","non-dropping-particle":"","parse-names":false,"suffix":""}],"container-title":"Frontiers in Psychology","id":"ITEM-1","issue":"December","issued":{"date-parts":[["2021"]]},"title":"Current Progress and Future Directions for Theory and Research on Savoring","type":"article-journal","volume":"12"},"uris":["http://www.mendeley.com/documents/?uuid=64ba18fc-f5f4-4161-9d5e-e055acdab234"]}],"mendeley":{"formattedCitation":"(Bryant 2021)","manualFormatting":"(Bryant, 2021; Ford, 2019)","plainTextFormattedCitation":"(Bryant 2021)","previouslyFormattedCitation":"(Bryant 2021)"},"properties":{"noteIndex":0},"schema":"https://github.com/citation-style-language/schema/raw/master/csl-citation.json"}</w:instrText>
      </w:r>
      <w:r w:rsidRPr="009C1430">
        <w:rPr>
          <w:rFonts w:ascii="Candara" w:hAnsi="Candara"/>
          <w:sz w:val="20"/>
          <w:szCs w:val="20"/>
        </w:rPr>
        <w:fldChar w:fldCharType="separate"/>
      </w:r>
      <w:r w:rsidRPr="009C1430">
        <w:rPr>
          <w:rFonts w:ascii="Candara" w:hAnsi="Candara"/>
          <w:noProof/>
          <w:sz w:val="20"/>
          <w:szCs w:val="20"/>
        </w:rPr>
        <w:t>(Bryant, 2021; Ford, 2019)</w:t>
      </w:r>
      <w:r w:rsidRPr="009C1430">
        <w:rPr>
          <w:rFonts w:ascii="Candara" w:hAnsi="Candara"/>
          <w:sz w:val="20"/>
          <w:szCs w:val="20"/>
        </w:rPr>
        <w:fldChar w:fldCharType="end"/>
      </w:r>
      <w:r w:rsidRPr="009C1430">
        <w:rPr>
          <w:rFonts w:ascii="Candara" w:hAnsi="Candara"/>
          <w:sz w:val="20"/>
          <w:szCs w:val="20"/>
        </w:rPr>
        <w:t xml:space="preserve">. Sebagai contoh, fokus yang berlebihan pada pengalaman positif pribadi tanpa melibatkan orang lain dapat mengarah pada isolasi atau kurangnya empati. Ketidakseimbangan antara aspek </w:t>
      </w:r>
      <w:r w:rsidRPr="009C1430">
        <w:rPr>
          <w:rFonts w:ascii="Candara" w:hAnsi="Candara"/>
          <w:i/>
          <w:iCs/>
          <w:sz w:val="20"/>
          <w:szCs w:val="20"/>
        </w:rPr>
        <w:t xml:space="preserve">social well-being </w:t>
      </w:r>
      <w:r w:rsidRPr="009C1430">
        <w:rPr>
          <w:rFonts w:ascii="Candara" w:hAnsi="Candara"/>
          <w:sz w:val="20"/>
          <w:szCs w:val="20"/>
        </w:rPr>
        <w:t xml:space="preserve">dan praktik </w:t>
      </w:r>
      <w:r w:rsidRPr="009C1430">
        <w:rPr>
          <w:rFonts w:ascii="Candara" w:hAnsi="Candara"/>
          <w:i/>
          <w:iCs/>
          <w:sz w:val="20"/>
          <w:szCs w:val="20"/>
        </w:rPr>
        <w:t xml:space="preserve">savoring </w:t>
      </w:r>
      <w:r w:rsidRPr="009C1430">
        <w:rPr>
          <w:rFonts w:ascii="Candara" w:hAnsi="Candara"/>
          <w:sz w:val="20"/>
          <w:szCs w:val="20"/>
        </w:rPr>
        <w:t xml:space="preserve">dapat menyebabkan individu kesulitan dalam mempraktikkan </w:t>
      </w:r>
      <w:r w:rsidRPr="009C1430">
        <w:rPr>
          <w:rFonts w:ascii="Candara" w:hAnsi="Candara"/>
          <w:i/>
          <w:iCs/>
          <w:sz w:val="20"/>
          <w:szCs w:val="20"/>
        </w:rPr>
        <w:t>savoring</w:t>
      </w:r>
      <w:r w:rsidRPr="009C1430">
        <w:rPr>
          <w:rFonts w:ascii="Candara" w:hAnsi="Candara"/>
          <w:sz w:val="20"/>
          <w:szCs w:val="20"/>
        </w:rPr>
        <w:t xml:space="preserve">, seringkali karena hubungan yang buruk </w:t>
      </w:r>
      <w:r w:rsidRPr="009C1430">
        <w:rPr>
          <w:rFonts w:ascii="Candara" w:hAnsi="Candara"/>
          <w:sz w:val="20"/>
          <w:szCs w:val="20"/>
        </w:rPr>
        <w:fldChar w:fldCharType="begin" w:fldLock="1"/>
      </w:r>
      <w:r w:rsidR="00A265CC">
        <w:rPr>
          <w:rFonts w:ascii="Candara" w:hAnsi="Candara"/>
          <w:sz w:val="20"/>
          <w:szCs w:val="20"/>
        </w:rPr>
        <w:instrText>ADDIN CSL_CITATION {"citationItems":[{"id":"ITEM-1","itemData":{"DOI":"10.20885/intervensipsikologi.vol14.iss2.art2","ISSN":"2085-4447","abstract":"High well-being is a protective factor against mental illness and psychopathology. To improve welfare, positive psychological interventions can be carried out, one of which is by enjoying the intervention. Purpose of this review is to evaluate the savoring intervention experiments and determine the effectiveness of the savoring interventions which can be used as evidence based in the practice of increasing well-being. This research was conducted by identifying appropriate and relevant literature. Identified randomized controlled trial from inception starts from May 2022 through proquest, google scholar, semantic scholar, and scopus. This meta-analysis research shows the results of effectiveness of savoring intervention on well-being which are in the medium category. The savoring intervention must also be strengthened with other additional interventions so that the result of effectiveness in influencing a person's well-being becomes greater and more significant. Differences in participant characteristics and the amount of literature included in this study are the weaknesses of this study.","author":[{"dropping-particle":"","family":"Tri Kusuma","given":"Cita","non-dropping-particle":"","parse-names":false,"suffix":""},{"dropping-particle":"","family":"Yudiarso","given":"Ananta","non-dropping-particle":"","parse-names":false,"suffix":""}],"container-title":"JIP (Jurnal Intervensi Psikologi)","id":"ITEM-1","issue":"2","issued":{"date-parts":[["2022"]]},"page":"95-106","title":"Efektivitas Savoring Intervention Terhadap Well-Being: Studi Meta Analisis","type":"article-journal","volume":"14"},"uris":["http://www.mendeley.com/documents/?uuid=052824d8-74c6-4291-af13-76d35d9b4703"]}],"mendeley":{"formattedCitation":"(Tri Kusuma and Yudiarso 2022)","manualFormatting":"(Kusuma &amp; Yudiarso, 2022)","plainTextFormattedCitation":"(Tri Kusuma and Yudiarso 2022)","previouslyFormattedCitation":"(Tri Kusuma and Yudiarso 2022)"},"properties":{"noteIndex":0},"schema":"https://github.com/citation-style-language/schema/raw/master/csl-citation.json"}</w:instrText>
      </w:r>
      <w:r w:rsidRPr="009C1430">
        <w:rPr>
          <w:rFonts w:ascii="Candara" w:hAnsi="Candara"/>
          <w:sz w:val="20"/>
          <w:szCs w:val="20"/>
        </w:rPr>
        <w:fldChar w:fldCharType="separate"/>
      </w:r>
      <w:r w:rsidRPr="009C1430">
        <w:rPr>
          <w:rFonts w:ascii="Candara" w:hAnsi="Candara"/>
          <w:noProof/>
          <w:sz w:val="20"/>
          <w:szCs w:val="20"/>
        </w:rPr>
        <w:t>(Kusuma &amp; Yudiarso, 2022)</w:t>
      </w:r>
      <w:r w:rsidRPr="009C1430">
        <w:rPr>
          <w:rFonts w:ascii="Candara" w:hAnsi="Candara"/>
          <w:sz w:val="20"/>
          <w:szCs w:val="20"/>
        </w:rPr>
        <w:fldChar w:fldCharType="end"/>
      </w:r>
      <w:r w:rsidRPr="009C1430">
        <w:rPr>
          <w:rFonts w:ascii="Candara" w:hAnsi="Candara"/>
          <w:sz w:val="20"/>
          <w:szCs w:val="20"/>
        </w:rPr>
        <w:t xml:space="preserve">, kurangnya makna dan kepuasan hidup </w:t>
      </w:r>
      <w:r w:rsidRPr="009C1430">
        <w:rPr>
          <w:rFonts w:ascii="Candara" w:hAnsi="Candara"/>
          <w:sz w:val="20"/>
          <w:szCs w:val="20"/>
        </w:rPr>
        <w:fldChar w:fldCharType="begin" w:fldLock="1"/>
      </w:r>
      <w:r w:rsidR="00A265CC">
        <w:rPr>
          <w:rFonts w:ascii="Candara" w:hAnsi="Candara"/>
          <w:sz w:val="20"/>
          <w:szCs w:val="20"/>
        </w:rPr>
        <w:instrText>ADDIN CSL_CITATION {"citationItems":[{"id":"ITEM-1","itemData":{"abstract":"Kami menyelidiki dampak perlindungan dari kapasitas menikmati pada hubungan antara kesehatan fisik dan kesejahteraan psikologis di antara orang dewasa yang lebih tua. Sebanyak 266 orang dewasa berusia di atas 55 tahun (Berarti¼73,4 tahun) menyelesaikan pengukuran kemampuan menikmati, kesehatan yang dilaporkan sendiri, dan kepuasan hidup. Kemampuan menikmati memoderasi hubungan antara kesehatan dan kepuasan hidup pada orang dewasa yang lebih tua. Di antara orang-orang dengan kemampuan menikmati yang lebih rendah, kesehatan yang buruk dikaitkan dengan kepuasan hidup yang lebih rendah. Sebaliknya, orang-orang dengan kemampuan menikmati yang lebih besar mempertahankan kepuasan hidup yang lebih tinggi, terlepas dari tingkat kesehatan mereka. Efek ini konsisten di berbagai aspek kesehatan yang berbeda, termasuk kesehatan umum, nyeri, keterbatasan karena kesehatan fisik, energi, dan fungsi sosial. Temuan ini memiliki implikasi langsung untuk mengembangkan intervensi positif untuk mendukung kesejahteraan psikologis orang dewasa yang lebih tua. Kata","author":[{"dropping-particle":"","family":"Smith","given":"Jennifer L","non-dropping-particle":"","parse-names":false,"suffix":""}],"id":"ITEM-1","issued":{"date-parts":[["2016"]]},"title":"Manfaat Dari Menikmati Hidup : Menikmati Sebagai Moderator Hubungan Antara","type":"article-journal"},"uris":["http://www.mendeley.com/documents/?uuid=d32db69f-6cc4-4cf3-9155-2fd8176c30d4"]}],"mendeley":{"formattedCitation":"(Smith 2016)","plainTextFormattedCitation":"(Smith 2016)","previouslyFormattedCitation":"(Smith 2016)"},"properties":{"noteIndex":0},"schema":"https://github.com/citation-style-language/schema/raw/master/csl-citation.json"}</w:instrText>
      </w:r>
      <w:r w:rsidRPr="009C1430">
        <w:rPr>
          <w:rFonts w:ascii="Candara" w:hAnsi="Candara"/>
          <w:sz w:val="20"/>
          <w:szCs w:val="20"/>
        </w:rPr>
        <w:fldChar w:fldCharType="separate"/>
      </w:r>
      <w:r w:rsidR="00AD0D51" w:rsidRPr="00AD0D51">
        <w:rPr>
          <w:rFonts w:ascii="Candara" w:hAnsi="Candara"/>
          <w:noProof/>
          <w:sz w:val="20"/>
          <w:szCs w:val="20"/>
        </w:rPr>
        <w:t>(Smith 2016)</w:t>
      </w:r>
      <w:r w:rsidRPr="009C1430">
        <w:rPr>
          <w:rFonts w:ascii="Candara" w:hAnsi="Candara"/>
          <w:sz w:val="20"/>
          <w:szCs w:val="20"/>
        </w:rPr>
        <w:fldChar w:fldCharType="end"/>
      </w:r>
      <w:r w:rsidRPr="009C1430">
        <w:rPr>
          <w:rFonts w:ascii="Candara" w:hAnsi="Candara"/>
          <w:sz w:val="20"/>
          <w:szCs w:val="20"/>
        </w:rPr>
        <w:t xml:space="preserve">, serta kurangnya kemampuan </w:t>
      </w:r>
      <w:r w:rsidRPr="009C1430">
        <w:rPr>
          <w:rFonts w:ascii="Candara" w:hAnsi="Candara"/>
          <w:i/>
          <w:iCs/>
          <w:sz w:val="20"/>
          <w:szCs w:val="20"/>
        </w:rPr>
        <w:t xml:space="preserve">savoring </w:t>
      </w:r>
      <w:r w:rsidRPr="009C1430">
        <w:rPr>
          <w:rFonts w:ascii="Candara" w:hAnsi="Candara"/>
          <w:i/>
          <w:iCs/>
          <w:sz w:val="20"/>
          <w:szCs w:val="20"/>
        </w:rPr>
        <w:fldChar w:fldCharType="begin" w:fldLock="1"/>
      </w:r>
      <w:r w:rsidR="00A265CC">
        <w:rPr>
          <w:rFonts w:ascii="Candara" w:hAnsi="Candara"/>
          <w:i/>
          <w:iCs/>
          <w:sz w:val="20"/>
          <w:szCs w:val="20"/>
        </w:rPr>
        <w:instrText>ADDIN CSL_CITATION {"citationItems":[{"id":"ITEM-1","itemData":{"DOI":"10.5502/ijw.v1i1.18","abstract":"In this paper, we focus on unanswered questions and future directions in positive psychology, with a special emphasis on savoring processes that regulate positive emotions. To advance our understanding of the savoring processes underlying positive experience, we highlight three unresolved issues that must be addressed: (1) discriminating the distinctive neuropsychological profiles associated with different savoring processes; (2) developing viable methods of measuring and analyzing the mediational mechanisms involved in real-time savoring; and (3) clarifying the developmental processes through which people acquire different strategies to savor positive experiences across the life span. We propose several potentially fruitful lines of attack aimed at addressing these unsolved problems, each of which requires new methods of assessment to advance theory and refine our conceptual understanding of savoring.","author":[{"dropping-particle":"","family":"Bryant","given":"","non-dropping-particle":"","parse-names":false,"suffix":""},{"dropping-particle":"","family":"Chadwick","given":"Erica D.","non-dropping-particle":"","parse-names":false,"suffix":""},{"dropping-particle":"","family":"Kluwe","given":"Katharina","non-dropping-particle":"","parse-names":false,"suffix":""}],"container-title":"International Journal of Wellbeing","id":"ITEM-1","issue":"1","issued":{"date-parts":[["2011"]]},"title":"Understanding the Processes that Regulate Positive Emotional Experience: Unsolved Problems and Future Directions for Theory and Research on Savoring","type":"article-journal","volume":"1"},"uris":["http://www.mendeley.com/documents/?uuid=c852be13-16d4-463e-9d61-c72b39396292"]}],"mendeley":{"formattedCitation":"(Bryant, Chadwick, and Kluwe 2011)","plainTextFormattedCitation":"(Bryant, Chadwick, and Kluwe 2011)","previouslyFormattedCitation":"(Bryant, Chadwick, and Kluwe 2011)"},"properties":{"noteIndex":0},"schema":"https://github.com/citation-style-language/schema/raw/master/csl-citation.json"}</w:instrText>
      </w:r>
      <w:r w:rsidRPr="009C1430">
        <w:rPr>
          <w:rFonts w:ascii="Candara" w:hAnsi="Candara"/>
          <w:i/>
          <w:iCs/>
          <w:sz w:val="20"/>
          <w:szCs w:val="20"/>
        </w:rPr>
        <w:fldChar w:fldCharType="separate"/>
      </w:r>
      <w:r w:rsidR="00AD0D51" w:rsidRPr="00AD0D51">
        <w:rPr>
          <w:rFonts w:ascii="Candara" w:hAnsi="Candara"/>
          <w:iCs/>
          <w:noProof/>
          <w:sz w:val="20"/>
          <w:szCs w:val="20"/>
        </w:rPr>
        <w:t>(Bryant, Chadwick, and Kluwe 2011)</w:t>
      </w:r>
      <w:r w:rsidRPr="009C1430">
        <w:rPr>
          <w:rFonts w:ascii="Candara" w:hAnsi="Candara"/>
          <w:i/>
          <w:iCs/>
          <w:sz w:val="20"/>
          <w:szCs w:val="20"/>
        </w:rPr>
        <w:fldChar w:fldCharType="end"/>
      </w:r>
      <w:r w:rsidRPr="009C1430">
        <w:rPr>
          <w:rFonts w:ascii="Candara" w:hAnsi="Candara"/>
          <w:sz w:val="20"/>
          <w:szCs w:val="20"/>
        </w:rPr>
        <w:t xml:space="preserve">. Dampak negatif dan ketidakmampuan </w:t>
      </w:r>
      <w:r w:rsidRPr="009C1430">
        <w:rPr>
          <w:rFonts w:ascii="Candara" w:hAnsi="Candara"/>
          <w:i/>
          <w:iCs/>
          <w:sz w:val="20"/>
          <w:szCs w:val="20"/>
        </w:rPr>
        <w:t xml:space="preserve">savoring </w:t>
      </w:r>
      <w:r w:rsidRPr="009C1430">
        <w:rPr>
          <w:rFonts w:ascii="Candara" w:hAnsi="Candara"/>
          <w:sz w:val="20"/>
          <w:szCs w:val="20"/>
        </w:rPr>
        <w:t>pada akhirnya dapat memengaruhi kualitas hubungan sosial.</w:t>
      </w:r>
    </w:p>
    <w:p w14:paraId="459CF148" w14:textId="0A6A1B7F" w:rsidR="009C1430" w:rsidRPr="005C2248" w:rsidRDefault="009C1430" w:rsidP="005C2248">
      <w:pPr>
        <w:pBdr>
          <w:top w:val="nil"/>
          <w:left w:val="nil"/>
          <w:bottom w:val="nil"/>
          <w:right w:val="nil"/>
          <w:between w:val="nil"/>
        </w:pBdr>
        <w:spacing w:line="240" w:lineRule="auto"/>
        <w:ind w:right="154" w:firstLine="719"/>
        <w:jc w:val="both"/>
        <w:rPr>
          <w:rFonts w:ascii="Candara" w:hAnsi="Candara"/>
          <w:sz w:val="20"/>
          <w:szCs w:val="20"/>
        </w:rPr>
      </w:pPr>
      <w:r w:rsidRPr="009C1430">
        <w:rPr>
          <w:rFonts w:ascii="Candara" w:hAnsi="Candara"/>
          <w:sz w:val="20"/>
          <w:szCs w:val="20"/>
        </w:rPr>
        <w:t xml:space="preserve">Terdapat beberapa penelitian yang menyebutkan bahwa savoring berperan sebagai moderator. Penelitian </w:t>
      </w:r>
      <w:r w:rsidRPr="009C1430">
        <w:rPr>
          <w:rFonts w:ascii="Candara" w:hAnsi="Candara"/>
          <w:sz w:val="20"/>
          <w:szCs w:val="20"/>
        </w:rPr>
        <w:lastRenderedPageBreak/>
        <w:t xml:space="preserve">oleh Jose et al </w:t>
      </w:r>
      <w:r w:rsidRPr="009C1430">
        <w:rPr>
          <w:rFonts w:ascii="Candara" w:hAnsi="Candara"/>
          <w:sz w:val="20"/>
          <w:szCs w:val="20"/>
        </w:rPr>
        <w:fldChar w:fldCharType="begin" w:fldLock="1"/>
      </w:r>
      <w:r w:rsidRPr="009C1430">
        <w:rPr>
          <w:rFonts w:ascii="Candara" w:hAnsi="Candara"/>
          <w:sz w:val="20"/>
          <w:szCs w:val="20"/>
        </w:rPr>
        <w:instrText>ADDIN CSL_CITATION {"citationItems":[{"id":"ITEM-1","itemData":{"DOI":"10.1080/17439760.2012.671345","ISSN":"17439760","abstract":"Bryant and Veroff (2007, Savoring: A new model of positive experience. Mahwah, NJ: Lawrence Erlbaum Associates) have proposed that savoring, namely, regulating the emotional impact of positive events by one's cognitive or behavioral responses, increases happiness. The present study was designed to determine whether and how savoring influences daily happiness. Experience sampling methodology was used with 101 participants, who provided self-reports of their momentary positive events, savoring responses, and positive affect daily over a period of 30 days. Multilevel modeling analyses verified that (a) these three constructs were positively related to each other within a given day, (b) momentary savoring both mediated and moderated the impact of daily positive events on momentary happy mood, and (c) levels of trait savoring moderated the observed mediational pattern. These results provide support for the hypothesis that savoring is an important mechanism through which people derive happiness from positive events. © 2012 Copyright Taylor and Francis Group, LLC.","author":[{"dropping-particle":"","family":"Jose","given":"Paul E.","non-dropping-particle":"","parse-names":false,"suffix":""},{"dropping-particle":"","family":"Lim","given":"Bee T.","non-dropping-particle":"","parse-names":false,"suffix":""},{"dropping-particle":"","family":"Bryant","given":"Fred B.","non-dropping-particle":"","parse-names":false,"suffix":""}],"container-title":"Journal of Positive Psychology","id":"ITEM-1","issue":"3","issued":{"date-parts":[["2012"]]},"page":"176-187","title":"Does savoring increase happiness? A daily diary study","type":"article-journal","volume":"7"},"suppress-author":1,"uris":["http://www.mendeley.com/documents/?uuid=8120642e-7df4-46ae-afcf-7651d0d90126"]}],"mendeley":{"formattedCitation":"(2012)","manualFormatting":"(2012)","plainTextFormattedCitation":"(2012)","previouslyFormattedCitation":"(2012)"},"properties":{"noteIndex":0},"schema":"https://github.com/citation-style-language/schema/raw/master/csl-citation.json"}</w:instrText>
      </w:r>
      <w:r w:rsidRPr="009C1430">
        <w:rPr>
          <w:rFonts w:ascii="Candara" w:hAnsi="Candara"/>
          <w:sz w:val="20"/>
          <w:szCs w:val="20"/>
        </w:rPr>
        <w:fldChar w:fldCharType="separate"/>
      </w:r>
      <w:r w:rsidRPr="009C1430">
        <w:rPr>
          <w:rFonts w:ascii="Candara" w:hAnsi="Candara"/>
          <w:noProof/>
          <w:sz w:val="20"/>
          <w:szCs w:val="20"/>
        </w:rPr>
        <w:t>(2012)</w:t>
      </w:r>
      <w:r w:rsidRPr="009C1430">
        <w:rPr>
          <w:rFonts w:ascii="Candara" w:hAnsi="Candara"/>
          <w:sz w:val="20"/>
          <w:szCs w:val="20"/>
        </w:rPr>
        <w:fldChar w:fldCharType="end"/>
      </w:r>
      <w:r w:rsidRPr="009C1430">
        <w:rPr>
          <w:rFonts w:ascii="Candara" w:hAnsi="Candara"/>
          <w:sz w:val="20"/>
          <w:szCs w:val="20"/>
        </w:rPr>
        <w:t xml:space="preserve"> menemukan bahwa savoring dapat memoderasi dampak positif pada kebahagiaan. Selain itu, Klibert et al </w:t>
      </w:r>
      <w:r w:rsidRPr="009C1430">
        <w:rPr>
          <w:rFonts w:ascii="Candara" w:hAnsi="Candara"/>
          <w:sz w:val="20"/>
          <w:szCs w:val="20"/>
        </w:rPr>
        <w:fldChar w:fldCharType="begin" w:fldLock="1"/>
      </w:r>
      <w:r w:rsidRPr="009C1430">
        <w:rPr>
          <w:rFonts w:ascii="Candara" w:hAnsi="Candara"/>
          <w:sz w:val="20"/>
          <w:szCs w:val="20"/>
        </w:rPr>
        <w:instrText>ADDIN CSL_CITATION {"citationItems":[{"id":"ITEM-1","itemData":{"DOI":"10.3389/fpsyg.2022.791040","ISSN":"16641078","abstract":"Achieving a high quality of life is dependent upon how individuals face adversity. Positive psychological interventions are well-suited to support coping efforts; however, experimental research is limited. The purpose of the current research was to examine whether different savoring interventions could increase important coping resources (i.e., positive emotions) in response to a social-evaluative hassle. We completed an experimental mixed subject design study with a university student sample. All participants completed a hassle induction task and were then randomly assigned into different intervention groups. Positive emotion ratings were collected at three points in time (baseline, post-induction task, post-intervention). Results revealed a significant time x intervention interaction effect, such that individuals in the savoring the moment intervention reported higher levels of positive emotions (at post-intervention) compared to individuals assigned to the true control group, guided imagery control group, and savoring through reminiscence intervention. Such findings represent a significant extension to savoring theory and offer support for savoring the moment exercises as a primary prevention strategy to bolster effective responses to social-evaluative hassles.","author":[{"dropping-particle":"","family":"Klibert","given":"Jeffrey J.","non-dropping-particle":"","parse-names":false,"suffix":""},{"dropping-particle":"","family":"Sturz","given":"Bradley R.","non-dropping-particle":"","parse-names":false,"suffix":""},{"dropping-particle":"","family":"LeLeux-LaBarge","given":"Kayla","non-dropping-particle":"","parse-names":false,"suffix":""},{"dropping-particle":"","family":"Hatton","given":"Arthur","non-dropping-particle":"","parse-names":false,"suffix":""},{"dropping-particle":"","family":"Smalley","given":"K. Bryant","non-dropping-particle":"","parse-names":false,"suffix":""},{"dropping-particle":"","family":"Warren","given":"Jacob C.","non-dropping-particle":"","parse-names":false,"suffix":""}],"container-title":"Frontiers in Psychology","id":"ITEM-1","issued":{"date-parts":[["2022"]]},"page":"1-13","title":"Savoring Interventions Increase Positive Emotions After a Social-Evaluative","type":"article-journal","volume":"13"},"suppress-author":1,"uris":["http://www.mendeley.com/documents/?uuid=4511b91e-2967-4895-944c-47ac9d39b709"]}],"mendeley":{"formattedCitation":"(2022)","manualFormatting":"(2022)","plainTextFormattedCitation":"(2022)","previouslyFormattedCitation":"(2022)"},"properties":{"noteIndex":0},"schema":"https://github.com/citation-style-language/schema/raw/master/csl-citation.json"}</w:instrText>
      </w:r>
      <w:r w:rsidRPr="009C1430">
        <w:rPr>
          <w:rFonts w:ascii="Candara" w:hAnsi="Candara"/>
          <w:sz w:val="20"/>
          <w:szCs w:val="20"/>
        </w:rPr>
        <w:fldChar w:fldCharType="separate"/>
      </w:r>
      <w:r w:rsidRPr="009C1430">
        <w:rPr>
          <w:rFonts w:ascii="Candara" w:hAnsi="Candara"/>
          <w:noProof/>
          <w:sz w:val="20"/>
          <w:szCs w:val="20"/>
        </w:rPr>
        <w:t>(2022)</w:t>
      </w:r>
      <w:r w:rsidRPr="009C1430">
        <w:rPr>
          <w:rFonts w:ascii="Candara" w:hAnsi="Candara"/>
          <w:sz w:val="20"/>
          <w:szCs w:val="20"/>
        </w:rPr>
        <w:fldChar w:fldCharType="end"/>
      </w:r>
      <w:r w:rsidRPr="009C1430">
        <w:rPr>
          <w:rFonts w:ascii="Candara" w:hAnsi="Candara"/>
          <w:sz w:val="20"/>
          <w:szCs w:val="20"/>
        </w:rPr>
        <w:t xml:space="preserve"> juga menyatakan bahwa intervensi </w:t>
      </w:r>
      <w:r w:rsidRPr="009C1430">
        <w:rPr>
          <w:rFonts w:ascii="Candara" w:hAnsi="Candara"/>
          <w:i/>
          <w:iCs/>
          <w:sz w:val="20"/>
          <w:szCs w:val="20"/>
        </w:rPr>
        <w:t>savoring</w:t>
      </w:r>
      <w:r w:rsidRPr="009C1430">
        <w:rPr>
          <w:rFonts w:ascii="Candara" w:hAnsi="Candara"/>
          <w:sz w:val="20"/>
          <w:szCs w:val="20"/>
        </w:rPr>
        <w:t xml:space="preserve"> dapat meningkatkan emosi positif dalam menghadapi permasalahan sosial dan meningkatkan </w:t>
      </w:r>
      <w:r w:rsidRPr="009C1430">
        <w:rPr>
          <w:rFonts w:ascii="Candara" w:hAnsi="Candara"/>
          <w:i/>
          <w:iCs/>
          <w:sz w:val="20"/>
          <w:szCs w:val="20"/>
        </w:rPr>
        <w:t>social well-being</w:t>
      </w:r>
      <w:r w:rsidRPr="009C1430">
        <w:rPr>
          <w:rFonts w:ascii="Candara" w:hAnsi="Candara"/>
          <w:sz w:val="20"/>
          <w:szCs w:val="20"/>
        </w:rPr>
        <w:t xml:space="preserve">, dimana hal ini sepadan dengan temuan Kahrilas et al </w:t>
      </w:r>
      <w:r w:rsidRPr="009C1430">
        <w:rPr>
          <w:rFonts w:ascii="Candara" w:hAnsi="Candara"/>
          <w:sz w:val="20"/>
          <w:szCs w:val="20"/>
        </w:rPr>
        <w:fldChar w:fldCharType="begin" w:fldLock="1"/>
      </w:r>
      <w:r w:rsidRPr="009C1430">
        <w:rPr>
          <w:rFonts w:ascii="Candara" w:hAnsi="Candara"/>
          <w:sz w:val="20"/>
          <w:szCs w:val="20"/>
        </w:rPr>
        <w:instrText>ADDIN CSL_CITATION {"citationItems":[{"id":"ITEM-1","itemData":{"DOI":"10.5502/ijw.v10i2.779","ISSN":"11798602","abstract":"Objective: Positive affectivity (PA; disposition to experience positive moods) and negative affectivity (NA; disposition to experience negative moods) may be risk factors for depression. Low PA may impair positive emotion regulation (savoring), potentially exacerbating depression. Understanding the mechanisms in which temporal domains of savoring influence the relationship between affectivity and depression may help advance depression treatments. Method: 1,618 participants (1,243 females; 70.0% Caucasian, 19.1% Asian, 4.5% African American, 0.9% Pacific Islander, 0.7% American Indian or Alaskan Native, 4.9% Biracial) ages 17-40 (M = 18.99, SD = 1.33) completed questionnaires. An exploratory path analysis was run with PA and NA as exogenous variables, savoring domains as mediators, and depression the outcome. Results: PA and NA were associated with depression and all three savoring temporal domains. Momentary savoring distinctly mediated the relationship between both PA and NA and depression. Limitations: The data are self-report and cross-sectional, precluding causal inference. Post-hoc power analysis indicated that the present study was underpowered. The use of a college sample primarily comprised of Caucasian women limits generalizability. Conclusions: Affectivity was associated with the temporal domains of savoring and indirectly associated with depression via momentary savoring. All temporal domains of savoring may bolster PA and mitigate NA. Momentary savoring may reduce depression symptoms in individuals with low PA and high NA.","author":[{"dropping-particle":"","family":"Kahrilas","given":"Ian J.","non-dropping-particle":"","parse-names":false,"suffix":""},{"dropping-particle":"","family":"Smith","given":"Jennifer L.","non-dropping-particle":"","parse-names":false,"suffix":""},{"dropping-particle":"","family":"Silton","given":"Rebecca L.","non-dropping-particle":"","parse-names":false,"suffix":""},{"dropping-particle":"","family":"Bryant","given":"Fred B.","non-dropping-particle":"","parse-names":false,"suffix":""}],"container-title":"International Journal of Wellbeing","id":"ITEM-1","issue":"2","issued":{"date-parts":[["2020"]]},"page":"19-36","title":"Savoring the moment: A link between affectivity and depression","type":"article-journal","volume":"10"},"suppress-author":1,"uris":["http://www.mendeley.com/documents/?uuid=7529d69e-f0a3-4094-b0e4-01eae833904d"]}],"mendeley":{"formattedCitation":"(2020)","plainTextFormattedCitation":"(2020)","previouslyFormattedCitation":"(2020)"},"properties":{"noteIndex":0},"schema":"https://github.com/citation-style-language/schema/raw/master/csl-citation.json"}</w:instrText>
      </w:r>
      <w:r w:rsidRPr="009C1430">
        <w:rPr>
          <w:rFonts w:ascii="Candara" w:hAnsi="Candara"/>
          <w:sz w:val="20"/>
          <w:szCs w:val="20"/>
        </w:rPr>
        <w:fldChar w:fldCharType="separate"/>
      </w:r>
      <w:r w:rsidRPr="009C1430">
        <w:rPr>
          <w:rFonts w:ascii="Candara" w:hAnsi="Candara"/>
          <w:noProof/>
          <w:sz w:val="20"/>
          <w:szCs w:val="20"/>
        </w:rPr>
        <w:t>(2020)</w:t>
      </w:r>
      <w:r w:rsidRPr="009C1430">
        <w:rPr>
          <w:rFonts w:ascii="Candara" w:hAnsi="Candara"/>
          <w:sz w:val="20"/>
          <w:szCs w:val="20"/>
        </w:rPr>
        <w:fldChar w:fldCharType="end"/>
      </w:r>
      <w:r w:rsidRPr="009C1430">
        <w:rPr>
          <w:rFonts w:ascii="Candara" w:hAnsi="Candara"/>
          <w:sz w:val="20"/>
          <w:szCs w:val="20"/>
        </w:rPr>
        <w:t xml:space="preserve"> bahwa proses menikmati pengalaman positif (</w:t>
      </w:r>
      <w:r w:rsidRPr="009C1430">
        <w:rPr>
          <w:rFonts w:ascii="Candara" w:hAnsi="Candara"/>
          <w:i/>
          <w:iCs/>
          <w:sz w:val="20"/>
          <w:szCs w:val="20"/>
        </w:rPr>
        <w:t>savoring</w:t>
      </w:r>
      <w:r w:rsidRPr="009C1430">
        <w:rPr>
          <w:rFonts w:ascii="Candara" w:hAnsi="Candara"/>
          <w:sz w:val="20"/>
          <w:szCs w:val="20"/>
        </w:rPr>
        <w:t xml:space="preserve">) dapat meningkatkan ketahanan dan kesejahteraan psikologis pada orang dewasa terhadap stres kehidupan sehingga </w:t>
      </w:r>
      <w:r w:rsidRPr="009C1430">
        <w:rPr>
          <w:rFonts w:ascii="Candara" w:hAnsi="Candara"/>
          <w:i/>
          <w:iCs/>
          <w:sz w:val="20"/>
          <w:szCs w:val="20"/>
        </w:rPr>
        <w:t>savoring</w:t>
      </w:r>
      <w:r w:rsidRPr="009C1430">
        <w:rPr>
          <w:rFonts w:ascii="Candara" w:hAnsi="Candara"/>
          <w:sz w:val="20"/>
          <w:szCs w:val="20"/>
        </w:rPr>
        <w:t xml:space="preserve"> juga memiliki hubungan yang positif terhadap kesejahteraan. Akan tetapi, penelitian mengenai </w:t>
      </w:r>
      <w:r w:rsidRPr="009C1430">
        <w:rPr>
          <w:rFonts w:ascii="Candara" w:hAnsi="Candara"/>
          <w:i/>
          <w:iCs/>
          <w:sz w:val="20"/>
          <w:szCs w:val="20"/>
        </w:rPr>
        <w:t>savoring</w:t>
      </w:r>
      <w:r w:rsidRPr="009C1430">
        <w:rPr>
          <w:rFonts w:ascii="Candara" w:hAnsi="Candara"/>
          <w:sz w:val="20"/>
          <w:szCs w:val="20"/>
        </w:rPr>
        <w:t xml:space="preserve"> sebagai moderator pengaruh </w:t>
      </w:r>
      <w:r w:rsidRPr="009C1430">
        <w:rPr>
          <w:rFonts w:ascii="Candara" w:hAnsi="Candara"/>
          <w:i/>
          <w:iCs/>
          <w:sz w:val="20"/>
          <w:szCs w:val="20"/>
        </w:rPr>
        <w:t>peer social support</w:t>
      </w:r>
      <w:r w:rsidRPr="009C1430">
        <w:rPr>
          <w:rFonts w:ascii="Candara" w:hAnsi="Candara"/>
          <w:sz w:val="20"/>
          <w:szCs w:val="20"/>
        </w:rPr>
        <w:t xml:space="preserve"> terhadap </w:t>
      </w:r>
      <w:r w:rsidRPr="009C1430">
        <w:rPr>
          <w:rFonts w:ascii="Candara" w:hAnsi="Candara"/>
          <w:i/>
          <w:iCs/>
          <w:sz w:val="20"/>
          <w:szCs w:val="20"/>
        </w:rPr>
        <w:t>social well-being</w:t>
      </w:r>
      <w:r w:rsidRPr="009C1430">
        <w:rPr>
          <w:rFonts w:ascii="Candara" w:hAnsi="Candara"/>
          <w:sz w:val="20"/>
          <w:szCs w:val="20"/>
        </w:rPr>
        <w:t xml:space="preserve"> masih jarang ditemukan terutama pada remaja dan konteks budaya di Indonesia sehingga menjadi keterbaruan dalam penelitian ini. Dengan demikian, penelitian ini mempunyai potensi untuk memberikan kontribusi dalam pemahaman lebih mendalam tentang dinamika </w:t>
      </w:r>
      <w:r w:rsidRPr="009C1430">
        <w:rPr>
          <w:rFonts w:ascii="Candara" w:hAnsi="Candara"/>
          <w:i/>
          <w:iCs/>
          <w:sz w:val="20"/>
          <w:szCs w:val="20"/>
        </w:rPr>
        <w:t xml:space="preserve">social well-being </w:t>
      </w:r>
      <w:r w:rsidRPr="009C1430">
        <w:rPr>
          <w:rFonts w:ascii="Candara" w:hAnsi="Candara"/>
          <w:sz w:val="20"/>
          <w:szCs w:val="20"/>
        </w:rPr>
        <w:t xml:space="preserve">dan bagaimana </w:t>
      </w:r>
      <w:r w:rsidRPr="009C1430">
        <w:rPr>
          <w:rFonts w:ascii="Candara" w:hAnsi="Candara"/>
          <w:i/>
          <w:iCs/>
          <w:sz w:val="20"/>
          <w:szCs w:val="20"/>
        </w:rPr>
        <w:t>peer social suppor</w:t>
      </w:r>
      <w:r w:rsidRPr="009C1430">
        <w:rPr>
          <w:rFonts w:ascii="Candara" w:hAnsi="Candara"/>
          <w:sz w:val="20"/>
          <w:szCs w:val="20"/>
        </w:rPr>
        <w:t xml:space="preserve">t dapat ditingkatkan melalui kemampuan </w:t>
      </w:r>
      <w:r w:rsidRPr="009C1430">
        <w:rPr>
          <w:rFonts w:ascii="Candara" w:hAnsi="Candara"/>
          <w:i/>
          <w:iCs/>
          <w:sz w:val="20"/>
          <w:szCs w:val="20"/>
        </w:rPr>
        <w:t xml:space="preserve">savoring </w:t>
      </w:r>
      <w:r w:rsidRPr="009C1430">
        <w:rPr>
          <w:rFonts w:ascii="Candara" w:hAnsi="Candara"/>
          <w:sz w:val="20"/>
          <w:szCs w:val="20"/>
        </w:rPr>
        <w:t>pada remaja.</w:t>
      </w:r>
    </w:p>
    <w:p w14:paraId="446BC50D" w14:textId="19E30E26" w:rsidR="004A2BD0" w:rsidRPr="00FE2493" w:rsidRDefault="00934AC7" w:rsidP="00FE2493">
      <w:pPr>
        <w:pStyle w:val="Heading"/>
        <w:jc w:val="center"/>
        <w:rPr>
          <w:sz w:val="20"/>
          <w:szCs w:val="20"/>
        </w:rPr>
      </w:pPr>
      <w:r w:rsidRPr="00FE2493">
        <w:rPr>
          <w:sz w:val="20"/>
          <w:szCs w:val="20"/>
        </w:rPr>
        <w:t>M</w:t>
      </w:r>
      <w:r w:rsidR="004A2BD0" w:rsidRPr="00FE2493">
        <w:rPr>
          <w:sz w:val="20"/>
          <w:szCs w:val="20"/>
        </w:rPr>
        <w:t>etode</w:t>
      </w:r>
      <w:r w:rsidR="001C0FDA" w:rsidRPr="00FE2493">
        <w:rPr>
          <w:sz w:val="20"/>
          <w:szCs w:val="20"/>
        </w:rPr>
        <w:t xml:space="preserve"> penelitian</w:t>
      </w:r>
    </w:p>
    <w:p w14:paraId="34F3BAB0" w14:textId="77777777" w:rsidR="005C2248" w:rsidRPr="005C2248" w:rsidRDefault="005C2248" w:rsidP="0005725D">
      <w:pPr>
        <w:pBdr>
          <w:top w:val="nil"/>
          <w:left w:val="nil"/>
          <w:bottom w:val="nil"/>
          <w:right w:val="nil"/>
          <w:between w:val="nil"/>
        </w:pBdr>
        <w:spacing w:after="0" w:line="240" w:lineRule="auto"/>
        <w:ind w:right="162"/>
        <w:jc w:val="both"/>
        <w:rPr>
          <w:rFonts w:ascii="Candara" w:eastAsia="Candara" w:hAnsi="Candara" w:cs="Candara"/>
          <w:b/>
          <w:bCs/>
          <w:color w:val="000000"/>
          <w:sz w:val="20"/>
          <w:szCs w:val="20"/>
        </w:rPr>
      </w:pPr>
      <w:r w:rsidRPr="005C2248">
        <w:rPr>
          <w:rFonts w:ascii="Candara" w:eastAsia="Candara" w:hAnsi="Candara" w:cs="Candara"/>
          <w:b/>
          <w:bCs/>
          <w:color w:val="000000"/>
          <w:sz w:val="20"/>
          <w:szCs w:val="20"/>
        </w:rPr>
        <w:t>Desain</w:t>
      </w:r>
    </w:p>
    <w:p w14:paraId="054DB84D" w14:textId="1565C609" w:rsidR="005C2248" w:rsidRPr="005C2248" w:rsidRDefault="005C2248" w:rsidP="0005725D">
      <w:pPr>
        <w:pBdr>
          <w:top w:val="nil"/>
          <w:left w:val="nil"/>
          <w:bottom w:val="nil"/>
          <w:right w:val="nil"/>
          <w:between w:val="nil"/>
        </w:pBdr>
        <w:spacing w:after="0" w:line="240" w:lineRule="auto"/>
        <w:ind w:right="162" w:firstLine="719"/>
        <w:jc w:val="both"/>
        <w:rPr>
          <w:rFonts w:ascii="Candara" w:eastAsia="Candara" w:hAnsi="Candara" w:cs="Candara"/>
          <w:color w:val="000000"/>
          <w:sz w:val="20"/>
          <w:szCs w:val="20"/>
        </w:rPr>
      </w:pPr>
      <w:r w:rsidRPr="005C2248">
        <w:rPr>
          <w:rFonts w:ascii="Candara" w:eastAsia="Candara" w:hAnsi="Candara" w:cs="Candara"/>
          <w:color w:val="000000"/>
          <w:sz w:val="20"/>
          <w:szCs w:val="20"/>
        </w:rPr>
        <w:t>Pen</w:t>
      </w:r>
      <w:r w:rsidR="00D3216D">
        <w:rPr>
          <w:rFonts w:ascii="Candara" w:eastAsia="Candara" w:hAnsi="Candara" w:cs="Candara"/>
          <w:color w:val="000000"/>
          <w:sz w:val="20"/>
          <w:szCs w:val="20"/>
        </w:rPr>
        <w:t xml:space="preserve">dekatan kuantitatif diterapkan dalam penelitian ini melalui metode jenis </w:t>
      </w:r>
      <w:r w:rsidRPr="005C2248">
        <w:rPr>
          <w:rFonts w:ascii="Candara" w:eastAsia="Candara" w:hAnsi="Candara" w:cs="Candara"/>
          <w:color w:val="000000"/>
          <w:sz w:val="20"/>
          <w:szCs w:val="20"/>
        </w:rPr>
        <w:t xml:space="preserve">survei untuk melihat keterikatan antar variabel khusunya dalam konteks peran </w:t>
      </w:r>
      <w:r w:rsidRPr="005C2248">
        <w:rPr>
          <w:rFonts w:ascii="Candara" w:eastAsia="Candara" w:hAnsi="Candara" w:cs="Candara"/>
          <w:i/>
          <w:iCs/>
          <w:color w:val="000000"/>
          <w:sz w:val="20"/>
          <w:szCs w:val="20"/>
        </w:rPr>
        <w:t xml:space="preserve">savoring </w:t>
      </w:r>
      <w:r w:rsidRPr="005C2248">
        <w:rPr>
          <w:rFonts w:ascii="Candara" w:eastAsia="Candara" w:hAnsi="Candara" w:cs="Candara"/>
          <w:color w:val="000000"/>
          <w:sz w:val="20"/>
          <w:szCs w:val="20"/>
        </w:rPr>
        <w:t xml:space="preserve">sebagai moderator antara </w:t>
      </w:r>
      <w:r w:rsidRPr="005C2248">
        <w:rPr>
          <w:rFonts w:ascii="Candara" w:eastAsia="Candara" w:hAnsi="Candara" w:cs="Candara"/>
          <w:i/>
          <w:iCs/>
          <w:color w:val="000000"/>
          <w:sz w:val="20"/>
          <w:szCs w:val="20"/>
        </w:rPr>
        <w:t xml:space="preserve">peer social support </w:t>
      </w:r>
      <w:r w:rsidRPr="005C2248">
        <w:rPr>
          <w:rFonts w:ascii="Candara" w:eastAsia="Candara" w:hAnsi="Candara" w:cs="Candara"/>
          <w:color w:val="000000"/>
          <w:sz w:val="20"/>
          <w:szCs w:val="20"/>
        </w:rPr>
        <w:t xml:space="preserve">terhadap </w:t>
      </w:r>
      <w:r w:rsidRPr="005C2248">
        <w:rPr>
          <w:rFonts w:ascii="Candara" w:eastAsia="Candara" w:hAnsi="Candara" w:cs="Candara"/>
          <w:i/>
          <w:iCs/>
          <w:color w:val="000000"/>
          <w:sz w:val="20"/>
          <w:szCs w:val="20"/>
        </w:rPr>
        <w:t xml:space="preserve">social well-being </w:t>
      </w:r>
      <w:r w:rsidRPr="005C2248">
        <w:rPr>
          <w:rFonts w:ascii="Candara" w:eastAsia="Candara" w:hAnsi="Candara" w:cs="Candara"/>
          <w:color w:val="000000"/>
          <w:sz w:val="20"/>
          <w:szCs w:val="20"/>
        </w:rPr>
        <w:t xml:space="preserve">pada remaja. </w:t>
      </w:r>
    </w:p>
    <w:p w14:paraId="11A40498" w14:textId="77777777" w:rsidR="005C2248" w:rsidRPr="005C2248" w:rsidRDefault="005C2248" w:rsidP="0005725D">
      <w:pPr>
        <w:pBdr>
          <w:top w:val="nil"/>
          <w:left w:val="nil"/>
          <w:bottom w:val="nil"/>
          <w:right w:val="nil"/>
          <w:between w:val="nil"/>
        </w:pBdr>
        <w:spacing w:after="0" w:line="240" w:lineRule="auto"/>
        <w:ind w:right="162"/>
        <w:jc w:val="both"/>
        <w:rPr>
          <w:rFonts w:ascii="Candara" w:eastAsia="Candara" w:hAnsi="Candara" w:cs="Candara"/>
          <w:b/>
          <w:bCs/>
          <w:color w:val="000000"/>
          <w:sz w:val="20"/>
          <w:szCs w:val="20"/>
        </w:rPr>
      </w:pPr>
      <w:r w:rsidRPr="005C2248">
        <w:rPr>
          <w:rFonts w:ascii="Candara" w:eastAsia="Candara" w:hAnsi="Candara" w:cs="Candara"/>
          <w:b/>
          <w:bCs/>
          <w:color w:val="000000"/>
          <w:sz w:val="20"/>
          <w:szCs w:val="20"/>
        </w:rPr>
        <w:t>Sampel</w:t>
      </w:r>
    </w:p>
    <w:p w14:paraId="5C50EB8C" w14:textId="6CCC5CFE" w:rsidR="005C2248" w:rsidRPr="0053518F" w:rsidRDefault="005C2248" w:rsidP="00397A5B">
      <w:pPr>
        <w:pBdr>
          <w:top w:val="nil"/>
          <w:left w:val="nil"/>
          <w:bottom w:val="nil"/>
          <w:right w:val="nil"/>
          <w:between w:val="nil"/>
        </w:pBdr>
        <w:spacing w:after="0" w:line="240" w:lineRule="auto"/>
        <w:ind w:right="162" w:firstLine="719"/>
        <w:jc w:val="both"/>
        <w:rPr>
          <w:rFonts w:ascii="Candara" w:eastAsia="Candara" w:hAnsi="Candara" w:cs="Candara"/>
          <w:color w:val="000000"/>
          <w:sz w:val="20"/>
          <w:szCs w:val="20"/>
        </w:rPr>
      </w:pPr>
      <w:r w:rsidRPr="005C2248">
        <w:rPr>
          <w:rFonts w:ascii="Candara" w:eastAsia="Candara" w:hAnsi="Candara" w:cs="Candara"/>
          <w:color w:val="000000"/>
          <w:sz w:val="20"/>
          <w:szCs w:val="20"/>
        </w:rPr>
        <w:t xml:space="preserve">Tempat penelitian dilaksanakan SMAS Muhammadiyah 7 Yogyakarta, MA Negeri 2 Yogyakarta, dan SMA Taman Madya IP Yogyakrta. Populasi berjumlah 1.178 siswa yang terdiri dari tiga sekolah. Pengambilan sampel penelitian ini </w:t>
      </w:r>
      <w:r w:rsidR="003F3CAC">
        <w:rPr>
          <w:rFonts w:ascii="Candara" w:eastAsia="Candara" w:hAnsi="Candara" w:cs="Candara"/>
          <w:color w:val="000000"/>
          <w:sz w:val="20"/>
          <w:szCs w:val="20"/>
        </w:rPr>
        <w:t xml:space="preserve">menggunakan teknik </w:t>
      </w:r>
      <w:r w:rsidR="003F3CAC">
        <w:rPr>
          <w:rFonts w:ascii="Candara" w:eastAsia="Candara" w:hAnsi="Candara" w:cs="Candara"/>
          <w:i/>
          <w:iCs/>
          <w:color w:val="000000"/>
          <w:sz w:val="20"/>
          <w:szCs w:val="20"/>
        </w:rPr>
        <w:t xml:space="preserve">cluster random </w:t>
      </w:r>
      <w:r w:rsidR="003F3CAC" w:rsidRPr="003F3CAC">
        <w:rPr>
          <w:rFonts w:ascii="Candara" w:eastAsia="Candara" w:hAnsi="Candara" w:cs="Candara"/>
          <w:i/>
          <w:iCs/>
          <w:color w:val="000000"/>
          <w:sz w:val="20"/>
          <w:szCs w:val="20"/>
        </w:rPr>
        <w:t>sampling</w:t>
      </w:r>
      <w:r w:rsidR="003F3CAC">
        <w:rPr>
          <w:rFonts w:ascii="Candara" w:eastAsia="Candara" w:hAnsi="Candara" w:cs="Candara"/>
          <w:i/>
          <w:iCs/>
          <w:color w:val="000000"/>
          <w:sz w:val="20"/>
          <w:szCs w:val="20"/>
        </w:rPr>
        <w:t xml:space="preserve"> </w:t>
      </w:r>
      <w:r w:rsidR="003F3CAC">
        <w:rPr>
          <w:rFonts w:ascii="Candara" w:eastAsia="Candara" w:hAnsi="Candara" w:cs="Candara"/>
          <w:color w:val="000000"/>
          <w:sz w:val="20"/>
          <w:szCs w:val="20"/>
        </w:rPr>
        <w:t xml:space="preserve">yang merupakan bagian dari </w:t>
      </w:r>
      <w:r w:rsidRPr="005C2248">
        <w:rPr>
          <w:rFonts w:ascii="Candara" w:eastAsia="Candara" w:hAnsi="Candara" w:cs="Candara"/>
          <w:color w:val="000000"/>
          <w:sz w:val="20"/>
          <w:szCs w:val="20"/>
        </w:rPr>
        <w:t xml:space="preserve">teknik </w:t>
      </w:r>
      <w:r w:rsidRPr="0053518F">
        <w:rPr>
          <w:rFonts w:ascii="Candara" w:eastAsia="Candara" w:hAnsi="Candara" w:cs="Candara"/>
          <w:color w:val="000000"/>
          <w:sz w:val="20"/>
          <w:szCs w:val="20"/>
        </w:rPr>
        <w:t>probability sampling. Cluster random sampling dalam pengambilan sampel didasarkan pada kelompok yang merujuk pada siswa kelas X dan XI</w:t>
      </w:r>
      <w:r w:rsidR="002643D6" w:rsidRPr="0053518F">
        <w:rPr>
          <w:rFonts w:ascii="Candara" w:eastAsia="Candara" w:hAnsi="Candara" w:cs="Candara"/>
          <w:color w:val="000000"/>
          <w:sz w:val="20"/>
          <w:szCs w:val="20"/>
        </w:rPr>
        <w:t xml:space="preserve"> (fase A-F)</w:t>
      </w:r>
      <w:r w:rsidRPr="0053518F">
        <w:rPr>
          <w:rFonts w:ascii="Candara" w:eastAsia="Candara" w:hAnsi="Candara" w:cs="Candara"/>
          <w:color w:val="000000"/>
          <w:sz w:val="20"/>
          <w:szCs w:val="20"/>
        </w:rPr>
        <w:t xml:space="preserve">, </w:t>
      </w:r>
      <w:r w:rsidRPr="0053518F">
        <w:rPr>
          <w:rFonts w:ascii="Candara" w:hAnsi="Candara"/>
          <w:sz w:val="20"/>
          <w:szCs w:val="20"/>
        </w:rPr>
        <w:t>berjenis kelamin laki-laki dan perempuan, serta berusia 15-18 tahun</w:t>
      </w:r>
      <w:r w:rsidRPr="0053518F">
        <w:rPr>
          <w:rFonts w:ascii="Candara" w:eastAsia="Candara" w:hAnsi="Candara" w:cs="Candara"/>
          <w:color w:val="000000"/>
          <w:sz w:val="20"/>
          <w:szCs w:val="20"/>
        </w:rPr>
        <w:t xml:space="preserve"> </w:t>
      </w:r>
      <w:r w:rsidR="002643D6" w:rsidRPr="0053518F">
        <w:rPr>
          <w:rFonts w:ascii="Candara" w:eastAsia="Candara" w:hAnsi="Candara" w:cs="Candara"/>
          <w:color w:val="000000"/>
          <w:sz w:val="20"/>
          <w:szCs w:val="20"/>
        </w:rPr>
        <w:t>di tiga sekolah SMAS Muhammadiyah 7 Yogyakarta, MA Negeri 2 Yogyakarta, dan SMA Taman Madya IP Yogyakrta. Proses pengambilan sampel dilakukan dengan mengidentifikasikan fase (cluster</w:t>
      </w:r>
      <w:r w:rsidR="00B2209B" w:rsidRPr="0053518F">
        <w:rPr>
          <w:rFonts w:ascii="Candara" w:eastAsia="Candara" w:hAnsi="Candara" w:cs="Candara"/>
          <w:color w:val="000000"/>
          <w:sz w:val="20"/>
          <w:szCs w:val="20"/>
        </w:rPr>
        <w:t>)</w:t>
      </w:r>
      <w:r w:rsidR="002B3C32" w:rsidRPr="0053518F">
        <w:rPr>
          <w:rFonts w:ascii="Candara" w:eastAsia="Candara" w:hAnsi="Candara" w:cs="Candara"/>
          <w:color w:val="000000"/>
          <w:sz w:val="20"/>
          <w:szCs w:val="20"/>
        </w:rPr>
        <w:t xml:space="preserve"> dan melakukan pengacakan untuk memilih cluster di setiap fase dalam tiga tempat penelitian. Secara lebih rinci, pada sekolah Muhammadiyah 7 Yogyakarta dan MA Negeri 2 Yogyakarta diambil secara acak 3-4 fase pada kelas X dan XI. Sementara itu, pada sekolah SMA Taman Madya IP Yogyakrta, keseluruhan subjek diambil karena jumlah siswa kelas X dan XI relatif kecil yaitu sebanyak 24 siswa. Fase yang terpilih kemudian menjadi sampel penelitian. </w:t>
      </w:r>
      <w:r w:rsidRPr="0053518F">
        <w:rPr>
          <w:rFonts w:ascii="Candara" w:hAnsi="Candara"/>
          <w:sz w:val="20"/>
          <w:szCs w:val="20"/>
        </w:rPr>
        <w:t>Sampel penelitian ditentukan berdasarkan teori Krejcie dan Morgan</w:t>
      </w:r>
      <w:r w:rsidR="00787C37" w:rsidRPr="0053518F">
        <w:rPr>
          <w:rFonts w:ascii="Candara" w:hAnsi="Candara"/>
          <w:sz w:val="20"/>
          <w:szCs w:val="20"/>
        </w:rPr>
        <w:t xml:space="preserve"> </w:t>
      </w:r>
      <w:r w:rsidR="00384CF2" w:rsidRPr="0053518F">
        <w:rPr>
          <w:rFonts w:ascii="Candara" w:hAnsi="Candara"/>
          <w:sz w:val="20"/>
          <w:szCs w:val="20"/>
        </w:rPr>
        <w:fldChar w:fldCharType="begin" w:fldLock="1"/>
      </w:r>
      <w:r w:rsidR="00A265CC">
        <w:rPr>
          <w:rFonts w:ascii="Candara" w:hAnsi="Candara"/>
          <w:sz w:val="20"/>
          <w:szCs w:val="20"/>
        </w:rPr>
        <w:instrText>ADDIN CSL_CITATION {"citationItems":[{"id":"ITEM-1","itemData":{"author":[{"dropping-particle":"V","family":"Krejcie","given":"Robert","non-dropping-particle":"","parse-names":false,"suffix":""},{"dropping-particle":"","family":"Morgan","given":"Daryle W","non-dropping-particle":"","parse-names":false,"suffix":""}],"id":"ITEM-1","issued":{"date-parts":[["1970"]]},"page":"607-610","title":"Determining Sample Size For Research Activities","type":"article-journal","volume":"30"},"uris":["http://www.mendeley.com/documents/?uuid=6422727c-4535-466c-b92f-f1c184eb2049"]}],"mendeley":{"formattedCitation":"(Krejcie and Morgan 1970)","plainTextFormattedCitation":"(Krejcie and Morgan 1970)","previouslyFormattedCitation":"(Krejcie and Morgan 1970)"},"properties":{"noteIndex":0},"schema":"https://github.com/citation-style-language/schema/raw/master/csl-citation.json"}</w:instrText>
      </w:r>
      <w:r w:rsidR="00384CF2" w:rsidRPr="0053518F">
        <w:rPr>
          <w:rFonts w:ascii="Candara" w:hAnsi="Candara"/>
          <w:sz w:val="20"/>
          <w:szCs w:val="20"/>
        </w:rPr>
        <w:fldChar w:fldCharType="separate"/>
      </w:r>
      <w:r w:rsidR="00AD0D51" w:rsidRPr="00AD0D51">
        <w:rPr>
          <w:rFonts w:ascii="Candara" w:hAnsi="Candara"/>
          <w:noProof/>
          <w:sz w:val="20"/>
          <w:szCs w:val="20"/>
        </w:rPr>
        <w:t>(Krejcie and Morgan 1970)</w:t>
      </w:r>
      <w:r w:rsidR="00384CF2" w:rsidRPr="0053518F">
        <w:rPr>
          <w:rFonts w:ascii="Candara" w:hAnsi="Candara"/>
          <w:sz w:val="20"/>
          <w:szCs w:val="20"/>
        </w:rPr>
        <w:fldChar w:fldCharType="end"/>
      </w:r>
      <w:r w:rsidRPr="0053518F">
        <w:rPr>
          <w:rFonts w:ascii="Candara" w:hAnsi="Candara"/>
          <w:sz w:val="20"/>
          <w:szCs w:val="20"/>
        </w:rPr>
        <w:t xml:space="preserve"> dengan populasi 1.178 maka jumlah sampel penelitian sebesar 291 responden. </w:t>
      </w:r>
    </w:p>
    <w:p w14:paraId="276939C5" w14:textId="77777777" w:rsidR="005C2248" w:rsidRPr="0053518F" w:rsidRDefault="005C2248" w:rsidP="0005725D">
      <w:pPr>
        <w:pBdr>
          <w:top w:val="nil"/>
          <w:left w:val="nil"/>
          <w:bottom w:val="nil"/>
          <w:right w:val="nil"/>
          <w:between w:val="nil"/>
        </w:pBdr>
        <w:spacing w:after="0" w:line="240" w:lineRule="auto"/>
        <w:ind w:right="162"/>
        <w:jc w:val="both"/>
        <w:rPr>
          <w:rFonts w:ascii="Candara" w:eastAsia="Candara" w:hAnsi="Candara" w:cs="Candara"/>
          <w:b/>
          <w:bCs/>
          <w:color w:val="000000"/>
          <w:sz w:val="20"/>
          <w:szCs w:val="20"/>
        </w:rPr>
      </w:pPr>
      <w:r w:rsidRPr="0053518F">
        <w:rPr>
          <w:rFonts w:ascii="Candara" w:eastAsia="Candara" w:hAnsi="Candara" w:cs="Candara"/>
          <w:b/>
          <w:bCs/>
          <w:color w:val="000000"/>
          <w:sz w:val="20"/>
          <w:szCs w:val="20"/>
        </w:rPr>
        <w:t>Prosedur</w:t>
      </w:r>
    </w:p>
    <w:p w14:paraId="0ADA013A" w14:textId="77777777" w:rsidR="005C2248" w:rsidRPr="0053518F" w:rsidRDefault="005C2248" w:rsidP="0005725D">
      <w:pPr>
        <w:pBdr>
          <w:top w:val="nil"/>
          <w:left w:val="nil"/>
          <w:bottom w:val="nil"/>
          <w:right w:val="nil"/>
          <w:between w:val="nil"/>
        </w:pBdr>
        <w:spacing w:after="0" w:line="240" w:lineRule="auto"/>
        <w:ind w:right="162" w:firstLine="719"/>
        <w:jc w:val="both"/>
        <w:rPr>
          <w:rFonts w:ascii="Candara" w:eastAsia="Candara" w:hAnsi="Candara" w:cs="Candara"/>
          <w:color w:val="000000"/>
          <w:sz w:val="20"/>
          <w:szCs w:val="20"/>
        </w:rPr>
      </w:pPr>
      <w:r w:rsidRPr="0053518F">
        <w:rPr>
          <w:rFonts w:ascii="Candara" w:eastAsia="Candara" w:hAnsi="Candara" w:cs="Candara"/>
          <w:color w:val="000000"/>
          <w:sz w:val="20"/>
          <w:szCs w:val="20"/>
        </w:rPr>
        <w:t xml:space="preserve">Instrumen dibagikan dalam bentuk lembar kuesioner yang langsung di isi oleh siswa di kelas dengan berisi tiga bagian, 1) </w:t>
      </w:r>
      <w:r w:rsidRPr="0053518F">
        <w:rPr>
          <w:rFonts w:ascii="Candara" w:eastAsia="Candara" w:hAnsi="Candara" w:cs="Candara"/>
          <w:i/>
          <w:iCs/>
          <w:color w:val="000000"/>
          <w:sz w:val="20"/>
          <w:szCs w:val="20"/>
        </w:rPr>
        <w:t>informed consent</w:t>
      </w:r>
      <w:r w:rsidRPr="0053518F">
        <w:rPr>
          <w:rFonts w:ascii="Candara" w:eastAsia="Candara" w:hAnsi="Candara" w:cs="Candara"/>
          <w:color w:val="000000"/>
          <w:sz w:val="20"/>
          <w:szCs w:val="20"/>
        </w:rPr>
        <w:t xml:space="preserve">, 2) informasi penelitian, 3) skala psikologis. Selanjutnya, data yang </w:t>
      </w:r>
      <w:r w:rsidRPr="0053518F">
        <w:rPr>
          <w:rFonts w:ascii="Candara" w:eastAsia="Candara" w:hAnsi="Candara" w:cs="Candara"/>
          <w:color w:val="000000"/>
          <w:sz w:val="20"/>
          <w:szCs w:val="20"/>
        </w:rPr>
        <w:t xml:space="preserve">terkumpul dari instrumen tersebut akan diproses dan dianalisis secara statistik untuk menjawab pertanyaan penelitian. Skala yang digunakan dalam penelitian ini adalah skala </w:t>
      </w:r>
      <w:r w:rsidRPr="0053518F">
        <w:rPr>
          <w:rFonts w:ascii="Candara" w:eastAsia="Candara" w:hAnsi="Candara" w:cs="Candara"/>
          <w:i/>
          <w:iCs/>
          <w:color w:val="000000"/>
          <w:sz w:val="20"/>
          <w:szCs w:val="20"/>
        </w:rPr>
        <w:t xml:space="preserve">Peer Support Questions </w:t>
      </w:r>
      <w:r w:rsidRPr="0053518F">
        <w:rPr>
          <w:rFonts w:ascii="Candara" w:eastAsia="Candara" w:hAnsi="Candara" w:cs="Candara"/>
          <w:color w:val="000000"/>
          <w:sz w:val="20"/>
          <w:szCs w:val="20"/>
        </w:rPr>
        <w:t xml:space="preserve">(PSQ), skala </w:t>
      </w:r>
      <w:r w:rsidRPr="0053518F">
        <w:rPr>
          <w:rFonts w:ascii="Candara" w:eastAsia="Candara" w:hAnsi="Candara" w:cs="Candara"/>
          <w:i/>
          <w:iCs/>
          <w:color w:val="000000"/>
          <w:sz w:val="20"/>
          <w:szCs w:val="20"/>
        </w:rPr>
        <w:t>Social Well-being</w:t>
      </w:r>
      <w:r w:rsidRPr="0053518F">
        <w:rPr>
          <w:rFonts w:ascii="Candara" w:eastAsia="Candara" w:hAnsi="Candara" w:cs="Candara"/>
          <w:color w:val="000000"/>
          <w:sz w:val="20"/>
          <w:szCs w:val="20"/>
        </w:rPr>
        <w:t xml:space="preserve"> dan skala </w:t>
      </w:r>
      <w:r w:rsidRPr="0053518F">
        <w:rPr>
          <w:rFonts w:ascii="Candara" w:eastAsia="Candara" w:hAnsi="Candara" w:cs="Candara"/>
          <w:i/>
          <w:iCs/>
          <w:color w:val="000000"/>
          <w:sz w:val="20"/>
          <w:szCs w:val="20"/>
        </w:rPr>
        <w:t xml:space="preserve">Savoring Beliefs Inventory </w:t>
      </w:r>
      <w:r w:rsidRPr="0053518F">
        <w:rPr>
          <w:rFonts w:ascii="Candara" w:eastAsia="Candara" w:hAnsi="Candara" w:cs="Candara"/>
          <w:color w:val="000000"/>
          <w:sz w:val="20"/>
          <w:szCs w:val="20"/>
        </w:rPr>
        <w:t xml:space="preserve">(SBI). </w:t>
      </w:r>
    </w:p>
    <w:p w14:paraId="686DCC8F" w14:textId="77777777" w:rsidR="005C2248" w:rsidRPr="0053518F" w:rsidRDefault="005C2248" w:rsidP="0005725D">
      <w:pPr>
        <w:pBdr>
          <w:top w:val="nil"/>
          <w:left w:val="nil"/>
          <w:bottom w:val="nil"/>
          <w:right w:val="nil"/>
          <w:between w:val="nil"/>
        </w:pBdr>
        <w:spacing w:after="0" w:line="240" w:lineRule="auto"/>
        <w:ind w:right="162"/>
        <w:jc w:val="both"/>
        <w:rPr>
          <w:rFonts w:ascii="Candara" w:eastAsia="Candara" w:hAnsi="Candara" w:cs="Candara"/>
          <w:b/>
          <w:bCs/>
          <w:color w:val="000000"/>
          <w:sz w:val="20"/>
          <w:szCs w:val="20"/>
        </w:rPr>
      </w:pPr>
      <w:r w:rsidRPr="0053518F">
        <w:rPr>
          <w:rFonts w:ascii="Candara" w:eastAsia="Candara" w:hAnsi="Candara" w:cs="Candara"/>
          <w:b/>
          <w:bCs/>
          <w:color w:val="000000"/>
          <w:sz w:val="20"/>
          <w:szCs w:val="20"/>
        </w:rPr>
        <w:t>Instrumen</w:t>
      </w:r>
    </w:p>
    <w:p w14:paraId="574D7685" w14:textId="77777777" w:rsidR="005C2248" w:rsidRPr="0053518F" w:rsidRDefault="005C2248" w:rsidP="0005725D">
      <w:pPr>
        <w:pBdr>
          <w:top w:val="nil"/>
          <w:left w:val="nil"/>
          <w:bottom w:val="nil"/>
          <w:right w:val="nil"/>
          <w:between w:val="nil"/>
        </w:pBdr>
        <w:spacing w:after="0" w:line="240" w:lineRule="auto"/>
        <w:ind w:right="162" w:firstLine="719"/>
        <w:jc w:val="both"/>
        <w:rPr>
          <w:rFonts w:ascii="Candara" w:eastAsia="Candara" w:hAnsi="Candara" w:cs="Candara"/>
          <w:color w:val="000000"/>
          <w:sz w:val="20"/>
          <w:szCs w:val="20"/>
        </w:rPr>
      </w:pPr>
      <w:r w:rsidRPr="0053518F">
        <w:rPr>
          <w:rFonts w:ascii="Candara" w:eastAsia="Candara" w:hAnsi="Candara" w:cs="Candara"/>
          <w:b/>
          <w:bCs/>
          <w:i/>
          <w:iCs/>
          <w:color w:val="000000"/>
          <w:sz w:val="20"/>
          <w:szCs w:val="20"/>
        </w:rPr>
        <w:t>Peer social support</w:t>
      </w:r>
      <w:r w:rsidRPr="0053518F">
        <w:rPr>
          <w:rFonts w:ascii="Candara" w:eastAsia="Candara" w:hAnsi="Candara" w:cs="Candara"/>
          <w:color w:val="000000"/>
          <w:sz w:val="20"/>
          <w:szCs w:val="20"/>
        </w:rPr>
        <w:t xml:space="preserve">. Pengukuran </w:t>
      </w:r>
      <w:r w:rsidRPr="0053518F">
        <w:rPr>
          <w:rFonts w:ascii="Candara" w:eastAsia="Candara" w:hAnsi="Candara" w:cs="Candara"/>
          <w:i/>
          <w:iCs/>
          <w:color w:val="000000"/>
          <w:sz w:val="20"/>
          <w:szCs w:val="20"/>
        </w:rPr>
        <w:t xml:space="preserve">peer social support </w:t>
      </w:r>
      <w:r w:rsidRPr="0053518F">
        <w:rPr>
          <w:rFonts w:ascii="Candara" w:eastAsia="Candara" w:hAnsi="Candara" w:cs="Candara"/>
          <w:color w:val="000000"/>
          <w:sz w:val="20"/>
          <w:szCs w:val="20"/>
        </w:rPr>
        <w:t xml:space="preserve">merujuk pada spek </w:t>
      </w:r>
      <w:r w:rsidRPr="0053518F">
        <w:rPr>
          <w:rFonts w:ascii="Candara" w:eastAsia="Candara" w:hAnsi="Candara" w:cs="Candara"/>
          <w:i/>
          <w:iCs/>
          <w:color w:val="000000"/>
          <w:sz w:val="20"/>
          <w:szCs w:val="20"/>
        </w:rPr>
        <w:t xml:space="preserve">peer social support </w:t>
      </w:r>
      <w:r w:rsidRPr="0053518F">
        <w:rPr>
          <w:rFonts w:ascii="Candara" w:eastAsia="Candara" w:hAnsi="Candara" w:cs="Candara"/>
          <w:color w:val="000000"/>
          <w:sz w:val="20"/>
          <w:szCs w:val="20"/>
        </w:rPr>
        <w:t xml:space="preserve">yang dikemukakan oleh Wills dan Shinar </w:t>
      </w:r>
      <w:r w:rsidRPr="0053518F">
        <w:rPr>
          <w:rFonts w:ascii="Candara" w:eastAsia="Candara" w:hAnsi="Candara" w:cs="Candara"/>
          <w:color w:val="000000"/>
          <w:sz w:val="20"/>
          <w:szCs w:val="20"/>
        </w:rPr>
        <w:fldChar w:fldCharType="begin" w:fldLock="1"/>
      </w:r>
      <w:r w:rsidRPr="0053518F">
        <w:rPr>
          <w:rFonts w:ascii="Candara" w:eastAsia="Candara" w:hAnsi="Candara" w:cs="Candara"/>
          <w:color w:val="000000"/>
          <w:sz w:val="20"/>
          <w:szCs w:val="20"/>
        </w:rPr>
        <w:instrText>ADDIN CSL_CITATION {"citationItems":[{"id":"ITEM-1","itemData":{"author":[{"dropping-particle":"","family":"Wills, T. A., &amp; Shinar","given":"O","non-dropping-particle":"","parse-names":false,"suffix":""}],"id":"ITEM-1","issued":{"date-parts":[["2000"]]},"number-of-pages":"86-135","publisher":"Oxford University Press","title":"Measuring perceived and received social support. In S. Cohen, L. G. Underwood, &amp; B. H. Gottlieb (Eds.)","type":"book"},"suppress-author":1,"uris":["http://www.mendeley.com/documents/?uuid=4c852d74-1ba0-4fdf-91f6-bfe070ca598b"]}],"mendeley":{"formattedCitation":"(2000)","plainTextFormattedCitation":"(2000)","previouslyFormattedCitation":"(2000)"},"properties":{"noteIndex":0},"schema":"https://github.com/citation-style-language/schema/raw/master/csl-citation.json"}</w:instrText>
      </w:r>
      <w:r w:rsidRPr="0053518F">
        <w:rPr>
          <w:rFonts w:ascii="Candara" w:eastAsia="Candara" w:hAnsi="Candara" w:cs="Candara"/>
          <w:color w:val="000000"/>
          <w:sz w:val="20"/>
          <w:szCs w:val="20"/>
        </w:rPr>
        <w:fldChar w:fldCharType="separate"/>
      </w:r>
      <w:r w:rsidRPr="0053518F">
        <w:rPr>
          <w:rFonts w:ascii="Candara" w:eastAsia="Candara" w:hAnsi="Candara" w:cs="Candara"/>
          <w:noProof/>
          <w:color w:val="000000"/>
          <w:sz w:val="20"/>
          <w:szCs w:val="20"/>
        </w:rPr>
        <w:t>(2000)</w:t>
      </w:r>
      <w:r w:rsidRPr="0053518F">
        <w:rPr>
          <w:rFonts w:ascii="Candara" w:eastAsia="Candara" w:hAnsi="Candara" w:cs="Candara"/>
          <w:color w:val="000000"/>
          <w:sz w:val="20"/>
          <w:szCs w:val="20"/>
        </w:rPr>
        <w:fldChar w:fldCharType="end"/>
      </w:r>
      <w:r w:rsidRPr="0053518F">
        <w:rPr>
          <w:rFonts w:ascii="Candara" w:eastAsia="Candara" w:hAnsi="Candara" w:cs="Candara"/>
          <w:color w:val="000000"/>
          <w:sz w:val="20"/>
          <w:szCs w:val="20"/>
        </w:rPr>
        <w:t xml:space="preserve"> dengan menggunakan hasil modifikasi skala </w:t>
      </w:r>
      <w:r w:rsidRPr="0053518F">
        <w:rPr>
          <w:rFonts w:ascii="Candara" w:eastAsia="Candara" w:hAnsi="Candara" w:cs="Candara"/>
          <w:i/>
          <w:iCs/>
          <w:color w:val="000000"/>
          <w:sz w:val="20"/>
          <w:szCs w:val="20"/>
        </w:rPr>
        <w:t xml:space="preserve">peer support questions </w:t>
      </w:r>
      <w:r w:rsidRPr="0053518F">
        <w:rPr>
          <w:rFonts w:ascii="Candara" w:eastAsia="Candara" w:hAnsi="Candara" w:cs="Candara"/>
          <w:color w:val="000000"/>
          <w:sz w:val="20"/>
          <w:szCs w:val="20"/>
        </w:rPr>
        <w:t xml:space="preserve">(PSQ) dari Alaei dan Hosseinnezhad </w:t>
      </w:r>
      <w:r w:rsidRPr="0053518F">
        <w:rPr>
          <w:rFonts w:ascii="Candara" w:eastAsia="Candara" w:hAnsi="Candara" w:cs="Candara"/>
          <w:color w:val="000000"/>
          <w:sz w:val="20"/>
          <w:szCs w:val="20"/>
        </w:rPr>
        <w:fldChar w:fldCharType="begin" w:fldLock="1"/>
      </w:r>
      <w:r w:rsidRPr="0053518F">
        <w:rPr>
          <w:rFonts w:ascii="Candara" w:eastAsia="Candara" w:hAnsi="Candara" w:cs="Candara"/>
          <w:color w:val="000000"/>
          <w:sz w:val="20"/>
          <w:szCs w:val="20"/>
        </w:rPr>
        <w:instrText>ADDIN CSL_CITATION {"citationItems":[{"id":"ITEM-1","itemData":{"DOI":"10.22099/jtls.2021.38853.2906","ISSN":"2008-8191","abstract":"The quality of students' relationships with their peers plays an important role in developing their academic achievement. The present study aimed at constructing an accurate, reliable, and valid instrument that could assess the EFL students' perceptions of peer support. The instrument includes different subscales, namely Informational Support, Emotional Support, Instrumental Support, Feedback, and Companionship Support. The Peer Support Questionnaire was administered to 212 Iranian undergraduate EFL students studying at two public universities in Iran. An exploratory and a confirmatory factor analysis were conducted, and the overall factor loading estimates indicated a quite satisfactory level of convergent validity for the developed Questionnaire. Both the degree of factor loadings and the construct validity test supported the convergent validity of peer support factors and their related items. The findings demonstrated that PSQ could be a valid and reliable instrument for measuring the concept of peer support in both academic and educational settings.","author":[{"dropping-particle":"","family":"Mostafaei","given":"Mahnaz","non-dropping-particle":"","parse-names":false,"suffix":""},{"dropping-particle":"","family":"1</w:instrText>
      </w:r>
      <w:r w:rsidRPr="0053518F">
        <w:rPr>
          <w:rFonts w:ascii="Candara" w:eastAsia="Candara" w:hAnsi="Candara" w:cs="Candara"/>
          <w:color w:val="000000"/>
          <w:sz w:val="20"/>
          <w:szCs w:val="20"/>
        </w:rPr>
        <w:instrText>","given":"Alaei","non-dropping-particle":"","parse-names":false,"suffix":""},{"dropping-particle":"","family":"Hosseinnezhad","given":"Hedieh","non-dropping-particle":"","parse-names":false,"suffix":""},{"dropping-particle":"","family":"Candidate","given":"Ph D","non-dropping-particle":"","parse-names":false,"suffix":""}],"container-title":"Journal of Teaching Language Skills (JTLS)","id":"ITEM-1","issue":"2","issued":{"date-parts":[["2020"]]},"page":"67-109","title":"The development and validation of peer support questionnaire (PSQ)","type":"article-journal","volume":"39"},"suppress-author":1,"uris":["http://www.mendeley.com/documents/?uuid=167844bc-0497-4098-97bc-d8131b9abcc0"]}],"mendeley":{"formattedCitation":"(2020)","plainTextFormattedCitation":"(2020)","previouslyFormattedCitation":"(2020)"},"properties":{"noteIndex":0},"schema":"https://github.com/citation-style-language/schema/raw/master/csl-citation.json"}</w:instrText>
      </w:r>
      <w:r w:rsidRPr="0053518F">
        <w:rPr>
          <w:rFonts w:ascii="Candara" w:eastAsia="Candara" w:hAnsi="Candara" w:cs="Candara"/>
          <w:color w:val="000000"/>
          <w:sz w:val="20"/>
          <w:szCs w:val="20"/>
        </w:rPr>
        <w:fldChar w:fldCharType="separate"/>
      </w:r>
      <w:r w:rsidRPr="0053518F">
        <w:rPr>
          <w:rFonts w:ascii="Candara" w:eastAsia="Candara" w:hAnsi="Candara" w:cs="Candara"/>
          <w:noProof/>
          <w:color w:val="000000"/>
          <w:sz w:val="20"/>
          <w:szCs w:val="20"/>
        </w:rPr>
        <w:t>(2020)</w:t>
      </w:r>
      <w:r w:rsidRPr="0053518F">
        <w:rPr>
          <w:rFonts w:ascii="Candara" w:eastAsia="Candara" w:hAnsi="Candara" w:cs="Candara"/>
          <w:color w:val="000000"/>
          <w:sz w:val="20"/>
          <w:szCs w:val="20"/>
        </w:rPr>
        <w:fldChar w:fldCharType="end"/>
      </w:r>
      <w:r w:rsidRPr="0053518F">
        <w:rPr>
          <w:rFonts w:ascii="Candara" w:eastAsia="Candara" w:hAnsi="Candara" w:cs="Candara"/>
          <w:color w:val="000000"/>
          <w:sz w:val="20"/>
          <w:szCs w:val="20"/>
        </w:rPr>
        <w:t xml:space="preserve">. Skala ini ditujukan untuk mengukur persepsi tentang dukungan dari teman sebaya dalam konteks belajar dan kehidupan akademik terdiri dari 22 butir pernyataan dengan respon pilihan; (1) sangat setuju, (2) setuju, (3) netral, (4) tidak setuju, dan (5) sangat tidak setuju. Hasil analisis menunjukkan instrumen skala PSQ pada penelitian ini memiliki koefisien realibilitas 0,947. </w:t>
      </w:r>
    </w:p>
    <w:p w14:paraId="51C8ADB9" w14:textId="437F57E5" w:rsidR="005C2248" w:rsidRPr="0053518F" w:rsidRDefault="005C2248" w:rsidP="0005725D">
      <w:pPr>
        <w:pBdr>
          <w:top w:val="nil"/>
          <w:left w:val="nil"/>
          <w:bottom w:val="nil"/>
          <w:right w:val="nil"/>
          <w:between w:val="nil"/>
        </w:pBdr>
        <w:spacing w:after="0" w:line="240" w:lineRule="auto"/>
        <w:ind w:right="162" w:firstLine="719"/>
        <w:jc w:val="both"/>
        <w:rPr>
          <w:rFonts w:ascii="Candara" w:eastAsia="Candara" w:hAnsi="Candara" w:cs="Candara"/>
          <w:color w:val="000000"/>
          <w:sz w:val="20"/>
          <w:szCs w:val="20"/>
        </w:rPr>
      </w:pPr>
      <w:r w:rsidRPr="0053518F">
        <w:rPr>
          <w:rFonts w:ascii="Candara" w:eastAsia="Candara" w:hAnsi="Candara" w:cs="Candara"/>
          <w:b/>
          <w:bCs/>
          <w:i/>
          <w:iCs/>
          <w:color w:val="000000"/>
          <w:sz w:val="20"/>
          <w:szCs w:val="20"/>
        </w:rPr>
        <w:t>Social well-being</w:t>
      </w:r>
      <w:r w:rsidRPr="0053518F">
        <w:rPr>
          <w:rFonts w:ascii="Candara" w:eastAsia="Candara" w:hAnsi="Candara" w:cs="Candara"/>
          <w:b/>
          <w:bCs/>
          <w:color w:val="000000"/>
          <w:sz w:val="20"/>
          <w:szCs w:val="20"/>
        </w:rPr>
        <w:t xml:space="preserve">. </w:t>
      </w:r>
      <w:r w:rsidRPr="0053518F">
        <w:rPr>
          <w:rFonts w:ascii="Candara" w:eastAsia="Candara" w:hAnsi="Candara" w:cs="Candara"/>
          <w:color w:val="000000"/>
          <w:sz w:val="20"/>
          <w:szCs w:val="20"/>
        </w:rPr>
        <w:t xml:space="preserve">Instrumen </w:t>
      </w:r>
      <w:r w:rsidRPr="0053518F">
        <w:rPr>
          <w:rFonts w:ascii="Candara" w:eastAsia="Candara" w:hAnsi="Candara" w:cs="Candara"/>
          <w:i/>
          <w:iCs/>
          <w:color w:val="000000"/>
          <w:sz w:val="20"/>
          <w:szCs w:val="20"/>
        </w:rPr>
        <w:t xml:space="preserve">social well-being </w:t>
      </w:r>
      <w:r w:rsidR="00D3216D">
        <w:rPr>
          <w:rFonts w:ascii="Candara" w:eastAsia="Candara" w:hAnsi="Candara" w:cs="Candara"/>
          <w:color w:val="000000"/>
          <w:sz w:val="20"/>
          <w:szCs w:val="20"/>
        </w:rPr>
        <w:t>penelitian ini merupakan</w:t>
      </w:r>
      <w:r w:rsidRPr="0053518F">
        <w:rPr>
          <w:rFonts w:ascii="Candara" w:eastAsia="Candara" w:hAnsi="Candara" w:cs="Candara"/>
          <w:color w:val="000000"/>
          <w:sz w:val="20"/>
          <w:szCs w:val="20"/>
        </w:rPr>
        <w:t xml:space="preserve"> hasil modifikasi skala </w:t>
      </w:r>
      <w:r w:rsidRPr="0053518F">
        <w:rPr>
          <w:rFonts w:ascii="Candara" w:eastAsia="Candara" w:hAnsi="Candara" w:cs="Candara"/>
          <w:i/>
          <w:iCs/>
          <w:color w:val="000000"/>
          <w:sz w:val="20"/>
          <w:szCs w:val="20"/>
        </w:rPr>
        <w:t xml:space="preserve">social well-being </w:t>
      </w:r>
      <w:r w:rsidRPr="0053518F">
        <w:rPr>
          <w:rFonts w:ascii="Candara" w:eastAsia="Candara" w:hAnsi="Candara" w:cs="Candara"/>
          <w:color w:val="000000"/>
          <w:sz w:val="20"/>
          <w:szCs w:val="20"/>
        </w:rPr>
        <w:t xml:space="preserve">oleh Keyes </w:t>
      </w:r>
      <w:r w:rsidRPr="0053518F">
        <w:rPr>
          <w:rFonts w:ascii="Candara" w:eastAsia="Candara" w:hAnsi="Candara" w:cs="Candara"/>
          <w:color w:val="000000"/>
          <w:sz w:val="20"/>
          <w:szCs w:val="20"/>
        </w:rPr>
        <w:fldChar w:fldCharType="begin" w:fldLock="1"/>
      </w:r>
      <w:r w:rsidRPr="0053518F">
        <w:rPr>
          <w:rFonts w:ascii="Candara" w:eastAsia="Candara" w:hAnsi="Candara" w:cs="Candara"/>
          <w:color w:val="000000"/>
          <w:sz w:val="20"/>
          <w:szCs w:val="20"/>
        </w:rPr>
        <w:instrText>ADDIN CSL_CITATION {"citationItems":[{"id":"ITEM-1","itemData":{"abstract":"The proposal of five dimensions of social well-being, social integration, social contribution, social coherence, social actualization, and social acceptance, is the- oretically substantiated. The theoretical structure, construct validity, and the social structural sources of the dimensions of social well-being are investigated in two studies. Item and confirmatory factor analyses in both studies corroborate the theoretical model of social well-being. The new scales correlate convergently with measures of anomie, generativity, perceived social constraints, community involvement and neighborhood quality. The new scales correlate discriminantly with measures of dysphoria, global well-being, physical health and optimism. Multivariate analyses in both studies substantiate the claim that social well-being is an achievement, facilitated by educational attainment and age. The state and direction of the study of adult functioning are discussed.","author":[{"dropping-particle":"","family":"Keyes","given":"Corey Lee M","non-dropping-particle":"","parse-names":false,"suffix":""}],"container-title":"American Sociological Association","id":"ITEM-1","issue":"2","issued":{"date-parts":[["1998"]]},"page":"121-140","title":"Social Well-Being Author","type":"article-journal","volume":"61"},"suppress-author":1,"uris":["http://www.mendeley.com/documents/?uuid=bd3d097a-8f5d-47fc-a432-99b327f11a30"]}],"mendeley":{"formattedCitation":"(1998)","plainTextFormattedCitation":"(1998)","previouslyFormattedCitation":"(1998)"},"properties":{"noteIndex":0},"schema":"https://github.com/citation-style-language/schema/raw/master/csl-citation.json"}</w:instrText>
      </w:r>
      <w:r w:rsidRPr="0053518F">
        <w:rPr>
          <w:rFonts w:ascii="Candara" w:eastAsia="Candara" w:hAnsi="Candara" w:cs="Candara"/>
          <w:color w:val="000000"/>
          <w:sz w:val="20"/>
          <w:szCs w:val="20"/>
        </w:rPr>
        <w:fldChar w:fldCharType="separate"/>
      </w:r>
      <w:r w:rsidRPr="0053518F">
        <w:rPr>
          <w:rFonts w:ascii="Candara" w:eastAsia="Candara" w:hAnsi="Candara" w:cs="Candara"/>
          <w:noProof/>
          <w:color w:val="000000"/>
          <w:sz w:val="20"/>
          <w:szCs w:val="20"/>
        </w:rPr>
        <w:t>(1998)</w:t>
      </w:r>
      <w:r w:rsidRPr="0053518F">
        <w:rPr>
          <w:rFonts w:ascii="Candara" w:eastAsia="Candara" w:hAnsi="Candara" w:cs="Candara"/>
          <w:color w:val="000000"/>
          <w:sz w:val="20"/>
          <w:szCs w:val="20"/>
        </w:rPr>
        <w:fldChar w:fldCharType="end"/>
      </w:r>
      <w:r w:rsidRPr="0053518F">
        <w:rPr>
          <w:rFonts w:ascii="Candara" w:eastAsia="Candara" w:hAnsi="Candara" w:cs="Candara"/>
          <w:color w:val="000000"/>
          <w:sz w:val="20"/>
          <w:szCs w:val="20"/>
        </w:rPr>
        <w:t xml:space="preserve"> yang bertujuan untuk mnegukur kualitas fungsi individu dalam konteks sosial melalui 33 pernyataan dengan rentang respon (1) sangat setuju, (2) setuju, (3) netral, (4) tidak setuju, dan (5) sangat tidak setuju. Uji reliabilitas skala </w:t>
      </w:r>
      <w:r w:rsidRPr="0053518F">
        <w:rPr>
          <w:rFonts w:ascii="Candara" w:eastAsia="Candara" w:hAnsi="Candara" w:cs="Candara"/>
          <w:i/>
          <w:iCs/>
          <w:color w:val="000000"/>
          <w:sz w:val="20"/>
          <w:szCs w:val="20"/>
        </w:rPr>
        <w:t xml:space="preserve">social well-being </w:t>
      </w:r>
      <w:r w:rsidRPr="0053518F">
        <w:rPr>
          <w:rFonts w:ascii="Candara" w:eastAsia="Candara" w:hAnsi="Candara" w:cs="Candara"/>
          <w:color w:val="000000"/>
          <w:sz w:val="20"/>
          <w:szCs w:val="20"/>
        </w:rPr>
        <w:t>menghasilkan koefisien sebesar 0,814.</w:t>
      </w:r>
    </w:p>
    <w:p w14:paraId="1ABD7125" w14:textId="77777777" w:rsidR="005C2248" w:rsidRPr="0053518F" w:rsidRDefault="005C2248" w:rsidP="0005725D">
      <w:pPr>
        <w:pBdr>
          <w:top w:val="nil"/>
          <w:left w:val="nil"/>
          <w:bottom w:val="nil"/>
          <w:right w:val="nil"/>
          <w:between w:val="nil"/>
        </w:pBdr>
        <w:spacing w:after="0" w:line="240" w:lineRule="auto"/>
        <w:ind w:right="162" w:firstLine="719"/>
        <w:jc w:val="both"/>
        <w:rPr>
          <w:rFonts w:ascii="Candara" w:eastAsia="Candara" w:hAnsi="Candara" w:cs="Candara"/>
          <w:color w:val="000000"/>
          <w:sz w:val="20"/>
          <w:szCs w:val="20"/>
        </w:rPr>
      </w:pPr>
      <w:r w:rsidRPr="0053518F">
        <w:rPr>
          <w:rFonts w:ascii="Candara" w:eastAsia="Candara" w:hAnsi="Candara" w:cs="Candara"/>
          <w:b/>
          <w:bCs/>
          <w:i/>
          <w:iCs/>
          <w:color w:val="000000"/>
          <w:sz w:val="20"/>
          <w:szCs w:val="20"/>
        </w:rPr>
        <w:t>Savoring</w:t>
      </w:r>
      <w:r w:rsidRPr="0053518F">
        <w:rPr>
          <w:rFonts w:ascii="Candara" w:eastAsia="Candara" w:hAnsi="Candara" w:cs="Candara"/>
          <w:b/>
          <w:bCs/>
          <w:color w:val="000000"/>
          <w:sz w:val="20"/>
          <w:szCs w:val="20"/>
        </w:rPr>
        <w:t xml:space="preserve">. </w:t>
      </w:r>
      <w:r w:rsidRPr="0053518F">
        <w:rPr>
          <w:rFonts w:ascii="Candara" w:eastAsia="Candara" w:hAnsi="Candara" w:cs="Candara"/>
          <w:color w:val="000000"/>
          <w:sz w:val="20"/>
          <w:szCs w:val="20"/>
        </w:rPr>
        <w:t xml:space="preserve">Variabel </w:t>
      </w:r>
      <w:r w:rsidRPr="0053518F">
        <w:rPr>
          <w:rFonts w:ascii="Candara" w:eastAsia="Candara" w:hAnsi="Candara" w:cs="Candara"/>
          <w:i/>
          <w:iCs/>
          <w:color w:val="000000"/>
          <w:sz w:val="20"/>
          <w:szCs w:val="20"/>
        </w:rPr>
        <w:t xml:space="preserve">savoring </w:t>
      </w:r>
      <w:r w:rsidRPr="0053518F">
        <w:rPr>
          <w:rFonts w:ascii="Candara" w:eastAsia="Candara" w:hAnsi="Candara" w:cs="Candara"/>
          <w:color w:val="000000"/>
          <w:sz w:val="20"/>
          <w:szCs w:val="20"/>
        </w:rPr>
        <w:t xml:space="preserve">diukur dengan mengacu pada hasil modifikasi skala </w:t>
      </w:r>
      <w:r w:rsidRPr="0053518F">
        <w:rPr>
          <w:rFonts w:ascii="Candara" w:eastAsia="Candara" w:hAnsi="Candara" w:cs="Candara"/>
          <w:i/>
          <w:iCs/>
          <w:color w:val="000000"/>
          <w:sz w:val="20"/>
          <w:szCs w:val="20"/>
        </w:rPr>
        <w:t xml:space="preserve">savoring beliefs inventory </w:t>
      </w:r>
      <w:r w:rsidRPr="0053518F">
        <w:rPr>
          <w:rFonts w:ascii="Candara" w:eastAsia="Candara" w:hAnsi="Candara" w:cs="Candara"/>
          <w:color w:val="000000"/>
          <w:sz w:val="20"/>
          <w:szCs w:val="20"/>
        </w:rPr>
        <w:t xml:space="preserve">(SBI) oleh Bryant </w:t>
      </w:r>
      <w:r w:rsidRPr="0053518F">
        <w:rPr>
          <w:rFonts w:ascii="Candara" w:eastAsia="Candara" w:hAnsi="Candara" w:cs="Candara"/>
          <w:color w:val="000000"/>
          <w:sz w:val="20"/>
          <w:szCs w:val="20"/>
        </w:rPr>
        <w:fldChar w:fldCharType="begin" w:fldLock="1"/>
      </w:r>
      <w:r w:rsidRPr="0053518F">
        <w:rPr>
          <w:rFonts w:ascii="Candara" w:eastAsia="Candara" w:hAnsi="Candara" w:cs="Candara"/>
          <w:color w:val="000000"/>
          <w:sz w:val="20"/>
          <w:szCs w:val="20"/>
        </w:rPr>
        <w:instrText>ADDIN CSL_CITATION {"citationItems":[{"id":"ITEM-1","itemData":{"DOI":"10.1080/0963823031000103489","ISSN":"09638237","abstract":"Background: Research has shown that beliefs about one's capacity to savour positive outcomes, a form of perceived control over positive emotions, are largely independent of beliefs about coping, a form of perceived control over negative emotions. Aim: To describe a new measure of savouring beliefs, the Savoring Beliefs Inventory (SBI). Method: Six studies validating the SBI that is designed to assess individuals' perceptions of their ability to derive pleasure through anticipating upcoming positive events, savouring positive moments, and reminiscing about past positive experiences. Results: SBI scores were found to be: (a) positively correlated with affect intensity, extraversion, optimism, internal locus of control, reported self-control behaviours, life satisfaction, value fulfilment, self-esteem, and intensity and frequency of happiness; (b) negatively correlated with neuroticism, guilt, physical and social anhedonia, hopelessness, depression, and the frequency of unhappy and neutral affect; and (c) uncorrelated with socially desirable responding. SBI was validated prospectively by first measuring college students' savouring beliefs and then later assessing their behaviours and affects in looking forward to, enjoying the actual experience of, and looking back on their Christmas vacation. Within each of the three time frames, the relevant SBI subscale generally predicted behaviours and affects more strongly than did the subscales associated with the other two temporal orientations. Finally, SBI was cross-validated in a sample of older adults. Conclusion: These results provide strong evidence that the SBI is a valid and reliable measure of individuals' beliefs about their capacity to savour positive experiences through anticipation, present enjoyment, and reminiscence.","author":[{"dropping-particle":"","family":"Bryant","given":"Fred B.","non-dropping-particle":"","parse-names":false,"suffix":""}],"container-title":"Journal of Mental Health","id":"ITEM-1","issue":"2","issued":{"date-parts":[["2003"]]},"page":"175-196","title":"Savoring Beliefs Inventory (SBI): A scale for measuring beliefs about savouring","type":"article-journal","volume":"12"},"suppress-author":1,"uris":["http://www.mendeley.com/documents/?uuid=463daaf6-e0da-4f09-a4c9-7b9fb35995f3"]}],"mendeley":{"formattedCitation":"(2003)","plainTextFormattedCitation":"(2003)","previouslyFormattedCitation":"(2003)"},"properties":{"noteIndex":0},"schema":"https://github.com/citation-style-language/schema/raw/master/csl-citation.json"}</w:instrText>
      </w:r>
      <w:r w:rsidRPr="0053518F">
        <w:rPr>
          <w:rFonts w:ascii="Candara" w:eastAsia="Candara" w:hAnsi="Candara" w:cs="Candara"/>
          <w:color w:val="000000"/>
          <w:sz w:val="20"/>
          <w:szCs w:val="20"/>
        </w:rPr>
        <w:fldChar w:fldCharType="separate"/>
      </w:r>
      <w:r w:rsidRPr="0053518F">
        <w:rPr>
          <w:rFonts w:ascii="Candara" w:eastAsia="Candara" w:hAnsi="Candara" w:cs="Candara"/>
          <w:noProof/>
          <w:color w:val="000000"/>
          <w:sz w:val="20"/>
          <w:szCs w:val="20"/>
        </w:rPr>
        <w:t>(2003)</w:t>
      </w:r>
      <w:r w:rsidRPr="0053518F">
        <w:rPr>
          <w:rFonts w:ascii="Candara" w:eastAsia="Candara" w:hAnsi="Candara" w:cs="Candara"/>
          <w:color w:val="000000"/>
          <w:sz w:val="20"/>
          <w:szCs w:val="20"/>
        </w:rPr>
        <w:fldChar w:fldCharType="end"/>
      </w:r>
      <w:r w:rsidRPr="0053518F">
        <w:rPr>
          <w:rFonts w:ascii="Candara" w:eastAsia="Candara" w:hAnsi="Candara" w:cs="Candara"/>
          <w:color w:val="000000"/>
          <w:sz w:val="20"/>
          <w:szCs w:val="20"/>
        </w:rPr>
        <w:t xml:space="preserve"> yang terdiri atas 24 butir pernyataan bertujuan untuk mengukur keyakinan individu tentang menikmati pengalaman positif dan perasaan bahagia. Skala ini menggunakan 5 rentang respon dari (1) sangat setuju, (2) setuju, (3) netral, (4) tidak setuju, dan (5) sangat tidak setuju. Skala SBI pada penelitian ini memiliki koefisien reliabilitas 0,791.</w:t>
      </w:r>
    </w:p>
    <w:p w14:paraId="70AA513C" w14:textId="77777777" w:rsidR="005C2248" w:rsidRPr="0053518F" w:rsidRDefault="005C2248" w:rsidP="0005725D">
      <w:pPr>
        <w:pBdr>
          <w:top w:val="nil"/>
          <w:left w:val="nil"/>
          <w:bottom w:val="nil"/>
          <w:right w:val="nil"/>
          <w:between w:val="nil"/>
        </w:pBdr>
        <w:spacing w:after="0" w:line="240" w:lineRule="auto"/>
        <w:ind w:right="162"/>
        <w:jc w:val="both"/>
        <w:rPr>
          <w:rFonts w:ascii="Candara" w:eastAsia="Candara" w:hAnsi="Candara" w:cs="Candara"/>
          <w:b/>
          <w:bCs/>
          <w:color w:val="000000"/>
          <w:sz w:val="20"/>
          <w:szCs w:val="20"/>
        </w:rPr>
      </w:pPr>
      <w:r w:rsidRPr="0053518F">
        <w:rPr>
          <w:rFonts w:ascii="Candara" w:eastAsia="Candara" w:hAnsi="Candara" w:cs="Candara"/>
          <w:b/>
          <w:bCs/>
          <w:color w:val="000000"/>
          <w:sz w:val="20"/>
          <w:szCs w:val="20"/>
        </w:rPr>
        <w:t>Analisis data</w:t>
      </w:r>
    </w:p>
    <w:p w14:paraId="58B2BB8F" w14:textId="7F1527CA" w:rsidR="005C2248" w:rsidRPr="0053518F" w:rsidRDefault="005C2248" w:rsidP="0005725D">
      <w:pPr>
        <w:pBdr>
          <w:top w:val="nil"/>
          <w:left w:val="nil"/>
          <w:bottom w:val="nil"/>
          <w:right w:val="nil"/>
          <w:between w:val="nil"/>
        </w:pBdr>
        <w:spacing w:after="0" w:line="240" w:lineRule="auto"/>
        <w:ind w:right="162" w:firstLine="719"/>
        <w:jc w:val="both"/>
        <w:rPr>
          <w:rFonts w:ascii="Candara" w:eastAsia="Candara" w:hAnsi="Candara" w:cs="Candara"/>
          <w:color w:val="000000"/>
          <w:sz w:val="20"/>
          <w:szCs w:val="20"/>
        </w:rPr>
      </w:pPr>
      <w:r w:rsidRPr="0053518F">
        <w:rPr>
          <w:rFonts w:ascii="Candara" w:eastAsia="Candara" w:hAnsi="Candara" w:cs="Candara"/>
          <w:color w:val="000000"/>
          <w:sz w:val="20"/>
          <w:szCs w:val="20"/>
        </w:rPr>
        <w:t xml:space="preserve">Data penelitian </w:t>
      </w:r>
      <w:r w:rsidR="003F3CAC">
        <w:rPr>
          <w:rFonts w:ascii="Candara" w:eastAsia="Candara" w:hAnsi="Candara" w:cs="Candara"/>
          <w:color w:val="000000"/>
          <w:sz w:val="20"/>
          <w:szCs w:val="20"/>
        </w:rPr>
        <w:t xml:space="preserve">dikumpulkan melalui </w:t>
      </w:r>
      <w:r w:rsidRPr="0053518F">
        <w:rPr>
          <w:rFonts w:ascii="Candara" w:eastAsia="Candara" w:hAnsi="Candara" w:cs="Candara"/>
          <w:color w:val="000000"/>
          <w:sz w:val="20"/>
          <w:szCs w:val="20"/>
        </w:rPr>
        <w:t xml:space="preserve">hasil kuesioner (likert), kemudian uji asumsi (uji normalitas) </w:t>
      </w:r>
      <w:r w:rsidR="003F3CAC">
        <w:rPr>
          <w:rFonts w:ascii="Candara" w:eastAsia="Candara" w:hAnsi="Candara" w:cs="Candara"/>
          <w:color w:val="000000"/>
          <w:sz w:val="20"/>
          <w:szCs w:val="20"/>
        </w:rPr>
        <w:t>sebelum dianalisis</w:t>
      </w:r>
      <w:r w:rsidRPr="0053518F">
        <w:rPr>
          <w:rFonts w:ascii="Candara" w:eastAsia="Candara" w:hAnsi="Candara" w:cs="Candara"/>
          <w:color w:val="000000"/>
          <w:sz w:val="20"/>
          <w:szCs w:val="20"/>
        </w:rPr>
        <w:t xml:space="preserve"> menggunakan analisis regresi moderasi teori model</w:t>
      </w:r>
      <w:r w:rsidR="00384CF2" w:rsidRPr="0053518F">
        <w:rPr>
          <w:rFonts w:ascii="Candara" w:eastAsia="Candara" w:hAnsi="Candara" w:cs="Candara"/>
          <w:color w:val="000000"/>
          <w:sz w:val="20"/>
          <w:szCs w:val="20"/>
        </w:rPr>
        <w:t xml:space="preserve"> 1</w:t>
      </w:r>
      <w:r w:rsidRPr="0053518F">
        <w:rPr>
          <w:rFonts w:ascii="Candara" w:eastAsia="Candara" w:hAnsi="Candara" w:cs="Candara"/>
          <w:color w:val="000000"/>
          <w:sz w:val="20"/>
          <w:szCs w:val="20"/>
        </w:rPr>
        <w:t xml:space="preserve"> Hayes </w:t>
      </w:r>
      <w:r w:rsidRPr="0053518F">
        <w:rPr>
          <w:rFonts w:ascii="Candara" w:eastAsia="Candara" w:hAnsi="Candara" w:cs="Candara"/>
          <w:color w:val="000000"/>
          <w:sz w:val="20"/>
          <w:szCs w:val="20"/>
        </w:rPr>
        <w:fldChar w:fldCharType="begin" w:fldLock="1"/>
      </w:r>
      <w:r w:rsidRPr="0053518F">
        <w:rPr>
          <w:rFonts w:ascii="Candara" w:eastAsia="Candara" w:hAnsi="Candara" w:cs="Candara"/>
          <w:color w:val="000000"/>
          <w:sz w:val="20"/>
          <w:szCs w:val="20"/>
        </w:rPr>
        <w:instrText>ADDIN CSL_CITATION {"citationItems":[{"id":"ITEM-1","itemData":{"author":[{"dropping-particle":"","family":"Hayes","given":"Andrew F.","non-dropping-particle":"","parse-names":false,"suffix":""}],"container-title":"Guilford Press","id":"ITEM-1","issued":{"date-parts":[["2013"]]},"title":"Introduction to Mediation, Moderation, and Conditional Precess Analysis Regression Based Approach","type":"article-journal"},"suppress-author":1,"uris":["http://www.mendeley.com/documents/?uuid=78f2af3c-dab1-4c2f-b229-2d1d80914149"]}],"mendeley":{"formattedCitation":"(2013)","plainTextFormattedCitation":"(2013)","previouslyFormattedCitation":"(2013)"},"properties":{"noteIndex":0},"schema":"https://github.com/citation-style-language/schema/raw/master/csl-citation.json"}</w:instrText>
      </w:r>
      <w:r w:rsidRPr="0053518F">
        <w:rPr>
          <w:rFonts w:ascii="Candara" w:eastAsia="Candara" w:hAnsi="Candara" w:cs="Candara"/>
          <w:color w:val="000000"/>
          <w:sz w:val="20"/>
          <w:szCs w:val="20"/>
        </w:rPr>
        <w:fldChar w:fldCharType="separate"/>
      </w:r>
      <w:r w:rsidRPr="0053518F">
        <w:rPr>
          <w:rFonts w:ascii="Candara" w:eastAsia="Candara" w:hAnsi="Candara" w:cs="Candara"/>
          <w:noProof/>
          <w:color w:val="000000"/>
          <w:sz w:val="20"/>
          <w:szCs w:val="20"/>
        </w:rPr>
        <w:t>(2013)</w:t>
      </w:r>
      <w:r w:rsidRPr="0053518F">
        <w:rPr>
          <w:rFonts w:ascii="Candara" w:eastAsia="Candara" w:hAnsi="Candara" w:cs="Candara"/>
          <w:color w:val="000000"/>
          <w:sz w:val="20"/>
          <w:szCs w:val="20"/>
        </w:rPr>
        <w:fldChar w:fldCharType="end"/>
      </w:r>
      <w:r w:rsidRPr="0053518F">
        <w:rPr>
          <w:rFonts w:ascii="Candara" w:eastAsia="Candara" w:hAnsi="Candara" w:cs="Candara"/>
          <w:color w:val="000000"/>
          <w:sz w:val="20"/>
          <w:szCs w:val="20"/>
        </w:rPr>
        <w:t xml:space="preserve"> dengan PROCES MACRO </w:t>
      </w:r>
      <w:r w:rsidR="00384CF2" w:rsidRPr="0053518F">
        <w:rPr>
          <w:rFonts w:ascii="Candara" w:eastAsia="Candara" w:hAnsi="Candara" w:cs="Candara"/>
          <w:color w:val="000000"/>
          <w:sz w:val="20"/>
          <w:szCs w:val="20"/>
        </w:rPr>
        <w:t xml:space="preserve">dari </w:t>
      </w:r>
      <w:r w:rsidRPr="0053518F">
        <w:rPr>
          <w:rFonts w:ascii="Candara" w:eastAsia="Candara" w:hAnsi="Candara" w:cs="Candara"/>
          <w:color w:val="000000"/>
          <w:sz w:val="20"/>
          <w:szCs w:val="20"/>
        </w:rPr>
        <w:t xml:space="preserve">SPSS. </w:t>
      </w:r>
    </w:p>
    <w:p w14:paraId="633E4CFC" w14:textId="5F7BF798" w:rsidR="004A2BD0" w:rsidRPr="0053518F" w:rsidRDefault="004A2BD0" w:rsidP="00FE2493">
      <w:pPr>
        <w:pStyle w:val="Heading"/>
        <w:jc w:val="center"/>
        <w:rPr>
          <w:sz w:val="20"/>
          <w:szCs w:val="20"/>
        </w:rPr>
      </w:pPr>
      <w:r w:rsidRPr="0053518F">
        <w:rPr>
          <w:sz w:val="20"/>
          <w:szCs w:val="20"/>
        </w:rPr>
        <w:t>Hasil</w:t>
      </w:r>
      <w:r w:rsidR="00934AC7" w:rsidRPr="0053518F">
        <w:rPr>
          <w:sz w:val="20"/>
          <w:szCs w:val="20"/>
        </w:rPr>
        <w:t xml:space="preserve"> penelitian</w:t>
      </w:r>
    </w:p>
    <w:p w14:paraId="1DADA0B1" w14:textId="77777777" w:rsidR="005C2248" w:rsidRPr="0053518F" w:rsidRDefault="005C2248" w:rsidP="0005725D">
      <w:pPr>
        <w:pBdr>
          <w:top w:val="nil"/>
          <w:left w:val="nil"/>
          <w:bottom w:val="nil"/>
          <w:right w:val="nil"/>
          <w:between w:val="nil"/>
        </w:pBdr>
        <w:spacing w:after="0" w:line="240" w:lineRule="auto"/>
        <w:ind w:right="162"/>
        <w:jc w:val="both"/>
        <w:rPr>
          <w:rFonts w:ascii="Candara" w:eastAsia="Candara" w:hAnsi="Candara" w:cs="Candara"/>
          <w:b/>
          <w:bCs/>
          <w:color w:val="000000"/>
          <w:sz w:val="20"/>
          <w:szCs w:val="20"/>
        </w:rPr>
      </w:pPr>
      <w:r w:rsidRPr="0053518F">
        <w:rPr>
          <w:rFonts w:ascii="Candara" w:eastAsia="Candara" w:hAnsi="Candara" w:cs="Candara"/>
          <w:b/>
          <w:bCs/>
          <w:color w:val="000000"/>
          <w:sz w:val="20"/>
          <w:szCs w:val="20"/>
        </w:rPr>
        <w:t>Karakteristik partisipan</w:t>
      </w:r>
    </w:p>
    <w:p w14:paraId="28FA7940" w14:textId="77777777" w:rsidR="005C2248" w:rsidRPr="005C2248" w:rsidRDefault="005C2248" w:rsidP="0005725D">
      <w:pPr>
        <w:pBdr>
          <w:top w:val="nil"/>
          <w:left w:val="nil"/>
          <w:bottom w:val="nil"/>
          <w:right w:val="nil"/>
          <w:between w:val="nil"/>
        </w:pBdr>
        <w:spacing w:after="0" w:line="240" w:lineRule="auto"/>
        <w:ind w:right="162" w:firstLine="719"/>
        <w:jc w:val="both"/>
        <w:rPr>
          <w:rFonts w:ascii="Candara" w:eastAsia="Candara" w:hAnsi="Candara" w:cs="Candara"/>
          <w:color w:val="000000"/>
          <w:sz w:val="20"/>
          <w:szCs w:val="20"/>
        </w:rPr>
      </w:pPr>
      <w:r w:rsidRPr="0053518F">
        <w:rPr>
          <w:rFonts w:ascii="Candara" w:eastAsia="Candara" w:hAnsi="Candara" w:cs="Candara"/>
          <w:color w:val="000000"/>
          <w:sz w:val="20"/>
          <w:szCs w:val="20"/>
        </w:rPr>
        <w:t>Responden penelitian berjumlah 291 remaja yang didominasi oleh siswa perempuan dengan</w:t>
      </w:r>
      <w:r w:rsidRPr="005C2248">
        <w:rPr>
          <w:rFonts w:ascii="Candara" w:eastAsia="Candara" w:hAnsi="Candara" w:cs="Candara"/>
          <w:color w:val="000000"/>
          <w:sz w:val="20"/>
          <w:szCs w:val="20"/>
        </w:rPr>
        <w:t xml:space="preserve"> jumlah 152 (52,2%), sedangkan laki-laki sebanyak 139 siswa (47,8%). Rentang usia dari 15-18 tahun dengan sebaran usia didominasi oleh usia 17 tahun sejumlah 123 (42,3%), usia 16 tahun sebanyak 110 (37,8%), usia 15 tahun sejumlah 36 (12,4%) dan usia 18 tahun sebanyak 22 (7,6%). </w:t>
      </w:r>
    </w:p>
    <w:p w14:paraId="2C0A42A6" w14:textId="77777777" w:rsidR="005C2248" w:rsidRPr="005C2248" w:rsidRDefault="005C2248" w:rsidP="0005725D">
      <w:pPr>
        <w:pBdr>
          <w:top w:val="nil"/>
          <w:left w:val="nil"/>
          <w:bottom w:val="nil"/>
          <w:right w:val="nil"/>
          <w:between w:val="nil"/>
        </w:pBdr>
        <w:spacing w:after="0" w:line="240" w:lineRule="auto"/>
        <w:ind w:right="162"/>
        <w:jc w:val="both"/>
        <w:rPr>
          <w:rFonts w:ascii="Candara" w:eastAsia="Candara" w:hAnsi="Candara" w:cs="Candara"/>
          <w:b/>
          <w:bCs/>
          <w:color w:val="000000"/>
          <w:sz w:val="20"/>
          <w:szCs w:val="20"/>
        </w:rPr>
      </w:pPr>
      <w:r w:rsidRPr="005C2248">
        <w:rPr>
          <w:rFonts w:ascii="Candara" w:eastAsia="Candara" w:hAnsi="Candara" w:cs="Candara"/>
          <w:b/>
          <w:bCs/>
          <w:color w:val="000000"/>
          <w:sz w:val="20"/>
          <w:szCs w:val="20"/>
        </w:rPr>
        <w:t>Kategorisasi data penelitian</w:t>
      </w:r>
    </w:p>
    <w:p w14:paraId="73180223" w14:textId="74ADAF3F" w:rsidR="005C2248" w:rsidRPr="005C2248" w:rsidRDefault="005C2248" w:rsidP="0005725D">
      <w:pPr>
        <w:pBdr>
          <w:top w:val="nil"/>
          <w:left w:val="nil"/>
          <w:bottom w:val="nil"/>
          <w:right w:val="nil"/>
          <w:between w:val="nil"/>
        </w:pBdr>
        <w:spacing w:after="0" w:line="240" w:lineRule="auto"/>
        <w:ind w:right="162" w:firstLine="719"/>
        <w:jc w:val="both"/>
        <w:rPr>
          <w:rFonts w:ascii="Candara" w:eastAsia="Candara" w:hAnsi="Candara" w:cs="Candara"/>
          <w:color w:val="000000"/>
          <w:sz w:val="20"/>
          <w:szCs w:val="20"/>
        </w:rPr>
      </w:pPr>
      <w:r w:rsidRPr="005C2248">
        <w:rPr>
          <w:rFonts w:ascii="Candara" w:eastAsia="Candara" w:hAnsi="Candara" w:cs="Candara"/>
          <w:color w:val="000000"/>
          <w:sz w:val="20"/>
          <w:szCs w:val="20"/>
        </w:rPr>
        <w:t xml:space="preserve">Rentang skor kategorisasi pada variabel </w:t>
      </w:r>
      <w:r w:rsidRPr="005C2248">
        <w:rPr>
          <w:rFonts w:ascii="Candara" w:eastAsia="Candara" w:hAnsi="Candara" w:cs="Candara"/>
          <w:i/>
          <w:iCs/>
          <w:color w:val="000000"/>
          <w:sz w:val="20"/>
          <w:szCs w:val="20"/>
        </w:rPr>
        <w:t>peer social support</w:t>
      </w:r>
      <w:r w:rsidRPr="005C2248">
        <w:rPr>
          <w:rFonts w:ascii="Candara" w:eastAsia="Candara" w:hAnsi="Candara" w:cs="Candara"/>
          <w:color w:val="000000"/>
          <w:sz w:val="20"/>
          <w:szCs w:val="20"/>
        </w:rPr>
        <w:t xml:space="preserve"> mayoritas </w:t>
      </w:r>
      <w:r w:rsidRPr="005C2248">
        <w:rPr>
          <w:rFonts w:ascii="Candara" w:eastAsia="Candara" w:hAnsi="Candara" w:cs="Candara"/>
          <w:i/>
          <w:iCs/>
          <w:color w:val="000000"/>
          <w:sz w:val="20"/>
          <w:szCs w:val="20"/>
        </w:rPr>
        <w:t xml:space="preserve">peer social support </w:t>
      </w:r>
      <w:r w:rsidRPr="005C2248">
        <w:rPr>
          <w:rFonts w:ascii="Candara" w:eastAsia="Candara" w:hAnsi="Candara" w:cs="Candara"/>
          <w:color w:val="000000"/>
          <w:sz w:val="20"/>
          <w:szCs w:val="20"/>
        </w:rPr>
        <w:t xml:space="preserve">sejumlah 161 subjek (55,32%) dan minoritas dalam kategori sangat rendah dengan persentase sebesar 0,34% sebanyak 1 subjek. Pada variabel </w:t>
      </w:r>
      <w:r w:rsidRPr="005C2248">
        <w:rPr>
          <w:rFonts w:ascii="Candara" w:eastAsia="Candara" w:hAnsi="Candara" w:cs="Candara"/>
          <w:i/>
          <w:iCs/>
          <w:color w:val="000000"/>
          <w:sz w:val="20"/>
          <w:szCs w:val="20"/>
        </w:rPr>
        <w:t>social well-being</w:t>
      </w:r>
      <w:r w:rsidRPr="005C2248">
        <w:rPr>
          <w:rFonts w:ascii="Candara" w:eastAsia="Candara" w:hAnsi="Candara" w:cs="Candara"/>
          <w:color w:val="000000"/>
          <w:sz w:val="20"/>
          <w:szCs w:val="20"/>
        </w:rPr>
        <w:t xml:space="preserve"> rentang skor kategorisasi mayoritas dalam kategori sedang dengan persentase </w:t>
      </w:r>
      <w:r w:rsidRPr="005C2248">
        <w:rPr>
          <w:rFonts w:ascii="Candara" w:eastAsia="Candara" w:hAnsi="Candara" w:cs="Candara"/>
          <w:color w:val="000000"/>
          <w:sz w:val="20"/>
          <w:szCs w:val="20"/>
        </w:rPr>
        <w:lastRenderedPageBreak/>
        <w:t xml:space="preserve">sebesar 62,88% sejumlah 183 subjek dan minoritas dalam kategori sangat rendah sebanyak 0 subjek (0%). Rentang skor kategorisasi variabel </w:t>
      </w:r>
      <w:r w:rsidRPr="005C2248">
        <w:rPr>
          <w:rFonts w:ascii="Candara" w:eastAsia="Candara" w:hAnsi="Candara" w:cs="Candara"/>
          <w:i/>
          <w:iCs/>
          <w:color w:val="000000"/>
          <w:sz w:val="20"/>
          <w:szCs w:val="20"/>
        </w:rPr>
        <w:t xml:space="preserve">savoring </w:t>
      </w:r>
      <w:r w:rsidRPr="005C2248">
        <w:rPr>
          <w:rFonts w:ascii="Candara" w:eastAsia="Candara" w:hAnsi="Candara" w:cs="Candara"/>
          <w:color w:val="000000"/>
          <w:sz w:val="20"/>
          <w:szCs w:val="20"/>
        </w:rPr>
        <w:t xml:space="preserve">berada pada kategori tinggi </w:t>
      </w:r>
      <w:r w:rsidR="00C5542B">
        <w:rPr>
          <w:rFonts w:ascii="Candara" w:eastAsia="Candara" w:hAnsi="Candara" w:cs="Candara"/>
          <w:color w:val="000000"/>
          <w:sz w:val="20"/>
          <w:szCs w:val="20"/>
        </w:rPr>
        <w:t xml:space="preserve">atas </w:t>
      </w:r>
      <w:r w:rsidRPr="005C2248">
        <w:rPr>
          <w:rFonts w:ascii="Candara" w:eastAsia="Candara" w:hAnsi="Candara" w:cs="Candara"/>
          <w:color w:val="000000"/>
          <w:sz w:val="20"/>
          <w:szCs w:val="20"/>
        </w:rPr>
        <w:t xml:space="preserve">persentase sebesar 48,10% atau 140 subjek dan minoritas dalam kategori sangat rendah sebanyak 0 subjek (0%). </w:t>
      </w:r>
    </w:p>
    <w:p w14:paraId="7B16FB03" w14:textId="77777777" w:rsidR="005C2248" w:rsidRPr="005C2248" w:rsidRDefault="005C2248" w:rsidP="0005725D">
      <w:pPr>
        <w:pBdr>
          <w:top w:val="nil"/>
          <w:left w:val="nil"/>
          <w:bottom w:val="nil"/>
          <w:right w:val="nil"/>
          <w:between w:val="nil"/>
        </w:pBdr>
        <w:spacing w:before="1" w:after="0" w:line="240" w:lineRule="auto"/>
        <w:jc w:val="both"/>
        <w:rPr>
          <w:rFonts w:ascii="Candara" w:eastAsia="Candara" w:hAnsi="Candara" w:cs="Candara"/>
          <w:b/>
          <w:bCs/>
          <w:color w:val="000000"/>
          <w:sz w:val="20"/>
          <w:szCs w:val="20"/>
        </w:rPr>
      </w:pPr>
      <w:r w:rsidRPr="005C2248">
        <w:rPr>
          <w:rFonts w:ascii="Candara" w:eastAsia="Candara" w:hAnsi="Candara" w:cs="Candara"/>
          <w:b/>
          <w:bCs/>
          <w:color w:val="000000"/>
          <w:sz w:val="20"/>
          <w:szCs w:val="20"/>
        </w:rPr>
        <w:t>Tabel 1</w:t>
      </w:r>
    </w:p>
    <w:p w14:paraId="3BA89D7F" w14:textId="77777777" w:rsidR="005C2248" w:rsidRPr="005C2248" w:rsidRDefault="005C2248" w:rsidP="0005725D">
      <w:pPr>
        <w:pBdr>
          <w:top w:val="nil"/>
          <w:left w:val="nil"/>
          <w:bottom w:val="nil"/>
          <w:right w:val="nil"/>
          <w:between w:val="nil"/>
        </w:pBdr>
        <w:spacing w:before="1" w:after="0" w:line="240" w:lineRule="auto"/>
        <w:jc w:val="both"/>
        <w:rPr>
          <w:rFonts w:ascii="Candara" w:eastAsia="Candara" w:hAnsi="Candara" w:cs="Candara"/>
          <w:b/>
          <w:bCs/>
          <w:color w:val="000000"/>
          <w:sz w:val="20"/>
          <w:szCs w:val="20"/>
        </w:rPr>
      </w:pPr>
      <w:r w:rsidRPr="005C2248">
        <w:rPr>
          <w:rFonts w:ascii="Candara" w:eastAsia="Candara" w:hAnsi="Candara" w:cs="Candara"/>
          <w:b/>
          <w:bCs/>
          <w:color w:val="000000"/>
          <w:sz w:val="20"/>
          <w:szCs w:val="20"/>
        </w:rPr>
        <w:t>Uji Asumsi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7"/>
        <w:gridCol w:w="1486"/>
        <w:gridCol w:w="1792"/>
      </w:tblGrid>
      <w:tr w:rsidR="005C2248" w:rsidRPr="005C2248" w14:paraId="00437385" w14:textId="77777777" w:rsidTr="005C2248">
        <w:trPr>
          <w:trHeight w:val="237"/>
        </w:trPr>
        <w:tc>
          <w:tcPr>
            <w:tcW w:w="1637" w:type="dxa"/>
            <w:tcBorders>
              <w:top w:val="single" w:sz="4" w:space="0" w:color="auto"/>
              <w:bottom w:val="single" w:sz="4" w:space="0" w:color="auto"/>
            </w:tcBorders>
          </w:tcPr>
          <w:p w14:paraId="4EAEF145" w14:textId="77777777" w:rsidR="005C2248" w:rsidRPr="005C2248" w:rsidRDefault="005C2248" w:rsidP="005C2248">
            <w:pPr>
              <w:pStyle w:val="ListParagraph"/>
              <w:ind w:left="0"/>
              <w:jc w:val="both"/>
              <w:rPr>
                <w:rFonts w:ascii="Candara" w:hAnsi="Candara"/>
                <w:b/>
                <w:bCs/>
              </w:rPr>
            </w:pPr>
            <w:r w:rsidRPr="005C2248">
              <w:rPr>
                <w:rFonts w:ascii="Candara" w:hAnsi="Candara"/>
                <w:b/>
                <w:bCs/>
              </w:rPr>
              <w:t xml:space="preserve">Variabel </w:t>
            </w:r>
          </w:p>
        </w:tc>
        <w:tc>
          <w:tcPr>
            <w:tcW w:w="1486" w:type="dxa"/>
            <w:tcBorders>
              <w:top w:val="single" w:sz="4" w:space="0" w:color="auto"/>
              <w:bottom w:val="single" w:sz="4" w:space="0" w:color="auto"/>
            </w:tcBorders>
          </w:tcPr>
          <w:p w14:paraId="286ABFA1" w14:textId="77777777" w:rsidR="005C2248" w:rsidRPr="005C2248" w:rsidRDefault="005C2248" w:rsidP="005C2248">
            <w:pPr>
              <w:pStyle w:val="ListParagraph"/>
              <w:ind w:left="0"/>
              <w:jc w:val="both"/>
              <w:rPr>
                <w:rFonts w:ascii="Candara" w:hAnsi="Candara"/>
                <w:b/>
                <w:bCs/>
              </w:rPr>
            </w:pPr>
            <w:r w:rsidRPr="005C2248">
              <w:rPr>
                <w:rFonts w:ascii="Candara" w:hAnsi="Candara"/>
                <w:b/>
                <w:bCs/>
              </w:rPr>
              <w:t xml:space="preserve">P </w:t>
            </w:r>
          </w:p>
        </w:tc>
        <w:tc>
          <w:tcPr>
            <w:tcW w:w="1792" w:type="dxa"/>
            <w:tcBorders>
              <w:top w:val="single" w:sz="4" w:space="0" w:color="auto"/>
              <w:bottom w:val="single" w:sz="4" w:space="0" w:color="auto"/>
            </w:tcBorders>
          </w:tcPr>
          <w:p w14:paraId="22465BFB" w14:textId="77777777" w:rsidR="005C2248" w:rsidRPr="005C2248" w:rsidRDefault="005C2248" w:rsidP="005C2248">
            <w:pPr>
              <w:pStyle w:val="ListParagraph"/>
              <w:ind w:left="0"/>
              <w:jc w:val="both"/>
              <w:rPr>
                <w:rFonts w:ascii="Candara" w:hAnsi="Candara"/>
                <w:b/>
                <w:bCs/>
              </w:rPr>
            </w:pPr>
            <w:r w:rsidRPr="005C2248">
              <w:rPr>
                <w:rFonts w:ascii="Candara" w:hAnsi="Candara"/>
                <w:b/>
                <w:bCs/>
              </w:rPr>
              <w:t xml:space="preserve">Keterangan </w:t>
            </w:r>
          </w:p>
        </w:tc>
      </w:tr>
      <w:tr w:rsidR="005C2248" w:rsidRPr="005C2248" w14:paraId="1D03FE10" w14:textId="77777777" w:rsidTr="005C2248">
        <w:trPr>
          <w:trHeight w:val="984"/>
        </w:trPr>
        <w:tc>
          <w:tcPr>
            <w:tcW w:w="1637" w:type="dxa"/>
            <w:tcBorders>
              <w:top w:val="single" w:sz="4" w:space="0" w:color="auto"/>
              <w:bottom w:val="single" w:sz="4" w:space="0" w:color="auto"/>
            </w:tcBorders>
          </w:tcPr>
          <w:p w14:paraId="36B365CC" w14:textId="77777777" w:rsidR="005C2248" w:rsidRPr="005C2248" w:rsidRDefault="005C2248" w:rsidP="005C2248">
            <w:pPr>
              <w:pStyle w:val="ListParagraph"/>
              <w:ind w:left="0"/>
              <w:jc w:val="both"/>
              <w:rPr>
                <w:rFonts w:ascii="Candara" w:hAnsi="Candara"/>
                <w:i/>
                <w:iCs/>
              </w:rPr>
            </w:pPr>
            <w:r w:rsidRPr="005C2248">
              <w:rPr>
                <w:rFonts w:ascii="Candara" w:hAnsi="Candara"/>
                <w:i/>
                <w:iCs/>
              </w:rPr>
              <w:t>Peer Social Support</w:t>
            </w:r>
          </w:p>
          <w:p w14:paraId="1B550A98" w14:textId="77777777" w:rsidR="005C2248" w:rsidRPr="005C2248" w:rsidRDefault="005C2248" w:rsidP="005C2248">
            <w:pPr>
              <w:pStyle w:val="ListParagraph"/>
              <w:ind w:left="0"/>
              <w:jc w:val="both"/>
              <w:rPr>
                <w:rFonts w:ascii="Candara" w:hAnsi="Candara"/>
                <w:i/>
                <w:iCs/>
              </w:rPr>
            </w:pPr>
            <w:r w:rsidRPr="005C2248">
              <w:rPr>
                <w:rFonts w:ascii="Candara" w:hAnsi="Candara"/>
                <w:i/>
                <w:iCs/>
              </w:rPr>
              <w:t>Social Well-Being</w:t>
            </w:r>
          </w:p>
          <w:p w14:paraId="28843606" w14:textId="77777777" w:rsidR="005C2248" w:rsidRPr="005C2248" w:rsidRDefault="005C2248" w:rsidP="005C2248">
            <w:pPr>
              <w:pStyle w:val="ListParagraph"/>
              <w:ind w:left="0"/>
              <w:jc w:val="both"/>
              <w:rPr>
                <w:rFonts w:ascii="Candara" w:hAnsi="Candara"/>
                <w:i/>
                <w:iCs/>
              </w:rPr>
            </w:pPr>
            <w:r w:rsidRPr="005C2248">
              <w:rPr>
                <w:rFonts w:ascii="Candara" w:hAnsi="Candara"/>
                <w:i/>
                <w:iCs/>
              </w:rPr>
              <w:t xml:space="preserve">Savoring </w:t>
            </w:r>
          </w:p>
        </w:tc>
        <w:tc>
          <w:tcPr>
            <w:tcW w:w="1486" w:type="dxa"/>
            <w:tcBorders>
              <w:top w:val="single" w:sz="4" w:space="0" w:color="auto"/>
              <w:bottom w:val="single" w:sz="4" w:space="0" w:color="auto"/>
            </w:tcBorders>
          </w:tcPr>
          <w:p w14:paraId="73193E9F" w14:textId="77777777" w:rsidR="005C2248" w:rsidRPr="005C2248" w:rsidRDefault="005C2248" w:rsidP="005C2248">
            <w:pPr>
              <w:pStyle w:val="ListParagraph"/>
              <w:ind w:left="0"/>
              <w:jc w:val="both"/>
              <w:rPr>
                <w:rFonts w:ascii="Candara" w:hAnsi="Candara"/>
              </w:rPr>
            </w:pPr>
          </w:p>
          <w:p w14:paraId="2A844DAD" w14:textId="77777777" w:rsidR="005C2248" w:rsidRPr="005C2248" w:rsidRDefault="005C2248" w:rsidP="005C2248">
            <w:pPr>
              <w:pStyle w:val="ListParagraph"/>
              <w:ind w:left="0"/>
              <w:jc w:val="both"/>
              <w:rPr>
                <w:rFonts w:ascii="Candara" w:hAnsi="Candara"/>
              </w:rPr>
            </w:pPr>
            <w:r w:rsidRPr="005C2248">
              <w:rPr>
                <w:rFonts w:ascii="Candara" w:hAnsi="Candara"/>
              </w:rPr>
              <w:t>0,200</w:t>
            </w:r>
          </w:p>
        </w:tc>
        <w:tc>
          <w:tcPr>
            <w:tcW w:w="1792" w:type="dxa"/>
            <w:tcBorders>
              <w:top w:val="single" w:sz="4" w:space="0" w:color="auto"/>
              <w:bottom w:val="single" w:sz="4" w:space="0" w:color="auto"/>
            </w:tcBorders>
          </w:tcPr>
          <w:p w14:paraId="30A4BFB0" w14:textId="77777777" w:rsidR="005C2248" w:rsidRPr="005C2248" w:rsidRDefault="005C2248" w:rsidP="005C2248">
            <w:pPr>
              <w:pStyle w:val="ListParagraph"/>
              <w:ind w:left="0"/>
              <w:jc w:val="both"/>
              <w:rPr>
                <w:rFonts w:ascii="Candara" w:hAnsi="Candara"/>
              </w:rPr>
            </w:pPr>
          </w:p>
          <w:p w14:paraId="3B5A949C" w14:textId="77777777" w:rsidR="005C2248" w:rsidRPr="005C2248" w:rsidRDefault="005C2248" w:rsidP="005C2248">
            <w:pPr>
              <w:pStyle w:val="ListParagraph"/>
              <w:ind w:left="0"/>
              <w:jc w:val="both"/>
              <w:rPr>
                <w:rFonts w:ascii="Candara" w:hAnsi="Candara"/>
              </w:rPr>
            </w:pPr>
            <w:r w:rsidRPr="005C2248">
              <w:rPr>
                <w:rFonts w:ascii="Candara" w:hAnsi="Candara"/>
              </w:rPr>
              <w:t xml:space="preserve">Normal </w:t>
            </w:r>
          </w:p>
        </w:tc>
      </w:tr>
    </w:tbl>
    <w:p w14:paraId="6DF49D62" w14:textId="1FC40C0F" w:rsidR="005C2248" w:rsidRPr="005C2248" w:rsidRDefault="005C2248" w:rsidP="00C5542B">
      <w:pPr>
        <w:pBdr>
          <w:top w:val="nil"/>
          <w:left w:val="nil"/>
          <w:bottom w:val="nil"/>
          <w:right w:val="nil"/>
          <w:between w:val="nil"/>
        </w:pBdr>
        <w:spacing w:before="1" w:after="0" w:line="240" w:lineRule="auto"/>
        <w:ind w:right="140" w:firstLine="720"/>
        <w:jc w:val="both"/>
        <w:rPr>
          <w:rFonts w:ascii="Candara" w:eastAsia="Candara" w:hAnsi="Candara" w:cs="Candara"/>
          <w:color w:val="000000"/>
          <w:sz w:val="20"/>
          <w:szCs w:val="20"/>
        </w:rPr>
      </w:pPr>
      <w:r w:rsidRPr="005C2248">
        <w:rPr>
          <w:rFonts w:ascii="Candara" w:eastAsia="Candara" w:hAnsi="Candara" w:cs="Candara"/>
          <w:color w:val="000000"/>
          <w:sz w:val="20"/>
          <w:szCs w:val="20"/>
        </w:rPr>
        <w:t>Berdasarkan pengujian asumsi menghasilkan bahwa ketiga variabel mem</w:t>
      </w:r>
      <w:r w:rsidR="00C5542B">
        <w:rPr>
          <w:rFonts w:ascii="Candara" w:eastAsia="Candara" w:hAnsi="Candara" w:cs="Candara"/>
          <w:color w:val="000000"/>
          <w:sz w:val="20"/>
          <w:szCs w:val="20"/>
        </w:rPr>
        <w:t>punyai</w:t>
      </w:r>
      <w:r w:rsidRPr="005C2248">
        <w:rPr>
          <w:rFonts w:ascii="Candara" w:eastAsia="Candara" w:hAnsi="Candara" w:cs="Candara"/>
          <w:color w:val="000000"/>
          <w:sz w:val="20"/>
          <w:szCs w:val="20"/>
        </w:rPr>
        <w:t xml:space="preserve"> distribusi normal melalui </w:t>
      </w:r>
      <w:r w:rsidRPr="005C2248">
        <w:rPr>
          <w:rFonts w:ascii="Candara" w:eastAsia="Candara" w:hAnsi="Candara" w:cs="Candara"/>
          <w:i/>
          <w:iCs/>
          <w:color w:val="000000"/>
          <w:sz w:val="20"/>
          <w:szCs w:val="20"/>
        </w:rPr>
        <w:t>kolmogorov-Smirnov</w:t>
      </w:r>
      <w:r w:rsidRPr="005C2248">
        <w:rPr>
          <w:rFonts w:ascii="Candara" w:eastAsia="Candara" w:hAnsi="Candara" w:cs="Candara"/>
          <w:color w:val="000000"/>
          <w:sz w:val="20"/>
          <w:szCs w:val="20"/>
        </w:rPr>
        <w:t xml:space="preserve"> dengan nilai p = 0,200 (p &lt; 0,05). </w:t>
      </w:r>
    </w:p>
    <w:p w14:paraId="5C46AAF1" w14:textId="77777777" w:rsidR="005C2248" w:rsidRPr="005C2248" w:rsidRDefault="005C2248" w:rsidP="0005725D">
      <w:pPr>
        <w:pBdr>
          <w:top w:val="nil"/>
          <w:left w:val="nil"/>
          <w:bottom w:val="nil"/>
          <w:right w:val="nil"/>
          <w:between w:val="nil"/>
        </w:pBdr>
        <w:spacing w:before="1" w:after="0" w:line="240" w:lineRule="auto"/>
        <w:jc w:val="both"/>
        <w:rPr>
          <w:rFonts w:ascii="Candara" w:eastAsia="Candara" w:hAnsi="Candara" w:cs="Candara"/>
          <w:b/>
          <w:bCs/>
          <w:color w:val="000000"/>
          <w:sz w:val="20"/>
          <w:szCs w:val="20"/>
        </w:rPr>
      </w:pPr>
      <w:r w:rsidRPr="005C2248">
        <w:rPr>
          <w:rFonts w:ascii="Candara" w:eastAsia="Candara" w:hAnsi="Candara" w:cs="Candara"/>
          <w:b/>
          <w:bCs/>
          <w:color w:val="000000"/>
          <w:sz w:val="20"/>
          <w:szCs w:val="20"/>
        </w:rPr>
        <w:t>Uji hipotesis</w:t>
      </w:r>
    </w:p>
    <w:p w14:paraId="1E18C096" w14:textId="42A75994" w:rsidR="005C2248" w:rsidRPr="005C2248" w:rsidRDefault="00C5542B" w:rsidP="0005725D">
      <w:pPr>
        <w:pBdr>
          <w:top w:val="nil"/>
          <w:left w:val="nil"/>
          <w:bottom w:val="nil"/>
          <w:right w:val="nil"/>
          <w:between w:val="nil"/>
        </w:pBdr>
        <w:spacing w:after="0" w:line="240" w:lineRule="auto"/>
        <w:ind w:right="162" w:firstLine="719"/>
        <w:jc w:val="both"/>
        <w:rPr>
          <w:rFonts w:ascii="Candara" w:eastAsia="Candara" w:hAnsi="Candara" w:cs="Candara"/>
          <w:color w:val="000000"/>
          <w:sz w:val="20"/>
          <w:szCs w:val="20"/>
        </w:rPr>
      </w:pPr>
      <w:r>
        <w:rPr>
          <w:rFonts w:ascii="Candara" w:eastAsia="Candara" w:hAnsi="Candara" w:cs="Candara"/>
          <w:color w:val="000000"/>
          <w:sz w:val="20"/>
          <w:szCs w:val="20"/>
        </w:rPr>
        <w:t xml:space="preserve">Hipotesis penelitian ini diuji dengan menggunakan </w:t>
      </w:r>
      <w:r w:rsidR="005C2248" w:rsidRPr="005C2248">
        <w:rPr>
          <w:rFonts w:ascii="Candara" w:eastAsia="Candara" w:hAnsi="Candara" w:cs="Candara"/>
          <w:color w:val="000000"/>
          <w:sz w:val="20"/>
          <w:szCs w:val="20"/>
        </w:rPr>
        <w:t xml:space="preserve">analisis regresi moderasi teori model Hayes </w:t>
      </w:r>
      <w:r w:rsidR="005C2248" w:rsidRPr="005C2248">
        <w:rPr>
          <w:rFonts w:ascii="Candara" w:eastAsia="Candara" w:hAnsi="Candara" w:cs="Candara"/>
          <w:color w:val="000000"/>
          <w:sz w:val="20"/>
          <w:szCs w:val="20"/>
        </w:rPr>
        <w:fldChar w:fldCharType="begin" w:fldLock="1"/>
      </w:r>
      <w:r w:rsidR="005C2248" w:rsidRPr="005C2248">
        <w:rPr>
          <w:rFonts w:ascii="Candara" w:eastAsia="Candara" w:hAnsi="Candara" w:cs="Candara"/>
          <w:color w:val="000000"/>
          <w:sz w:val="20"/>
          <w:szCs w:val="20"/>
        </w:rPr>
        <w:instrText>ADDIN CSL_CITATION {"citationItems":[{"id":"ITEM-1","itemData":{"author":[{"dropping-particle":"","family":"Hayes","given":"Andrew F.","non-dropping-particle":"","parse-names":false,"suffix":""}],"container-title":"Guilford Press","id":"ITEM-1","issued":{"date-parts":[["2013"]]},"title":"Introduction to Mediation, Moderation, and Conditional Precess Analysis Regression Based Approach","type":"article-journal"},"suppress-author":1,"uris":["http://www.mendeley.com/documents/?uuid=78f2af3c-dab1-4c2f-b229-2d1d80914149"]}],"mendeley":{"formattedCitation":"(2013)","plainTextFormattedCitation":"(2013)","previouslyFormattedCitation":"(2013)"},"properties":{"noteIndex":0},"schema":"https://github.com/citation-style-language/schema/raw/master/csl-citation.json"}</w:instrText>
      </w:r>
      <w:r w:rsidR="005C2248" w:rsidRPr="005C2248">
        <w:rPr>
          <w:rFonts w:ascii="Candara" w:eastAsia="Candara" w:hAnsi="Candara" w:cs="Candara"/>
          <w:color w:val="000000"/>
          <w:sz w:val="20"/>
          <w:szCs w:val="20"/>
        </w:rPr>
        <w:fldChar w:fldCharType="separate"/>
      </w:r>
      <w:r w:rsidR="005C2248" w:rsidRPr="005C2248">
        <w:rPr>
          <w:rFonts w:ascii="Candara" w:eastAsia="Candara" w:hAnsi="Candara" w:cs="Candara"/>
          <w:noProof/>
          <w:color w:val="000000"/>
          <w:sz w:val="20"/>
          <w:szCs w:val="20"/>
        </w:rPr>
        <w:t>(2013)</w:t>
      </w:r>
      <w:r w:rsidR="005C2248" w:rsidRPr="005C2248">
        <w:rPr>
          <w:rFonts w:ascii="Candara" w:eastAsia="Candara" w:hAnsi="Candara" w:cs="Candara"/>
          <w:color w:val="000000"/>
          <w:sz w:val="20"/>
          <w:szCs w:val="20"/>
        </w:rPr>
        <w:fldChar w:fldCharType="end"/>
      </w:r>
      <w:r w:rsidR="005C2248" w:rsidRPr="005C2248">
        <w:rPr>
          <w:rFonts w:ascii="Candara" w:eastAsia="Candara" w:hAnsi="Candara" w:cs="Candara"/>
          <w:color w:val="000000"/>
          <w:sz w:val="20"/>
          <w:szCs w:val="20"/>
        </w:rPr>
        <w:t xml:space="preserve"> dengan PROCES MACRO serta SPSS. </w:t>
      </w:r>
      <w:r>
        <w:rPr>
          <w:rFonts w:ascii="Candara" w:eastAsia="Candara" w:hAnsi="Candara" w:cs="Candara"/>
          <w:color w:val="000000"/>
          <w:sz w:val="20"/>
          <w:szCs w:val="20"/>
        </w:rPr>
        <w:t>Analisis ini menunjukkan perbedaan efek sumbangan (atau pengaruh) antara model yang melibatkan variabel moderator dengan model yang tidak melibatkan variabel moderatormembuktikan adanya perbedaan efek sumbangan, tergantung pada keterlibatan variabel moderator</w:t>
      </w:r>
      <w:r w:rsidR="005C2248" w:rsidRPr="005C2248">
        <w:rPr>
          <w:rFonts w:ascii="Candara" w:eastAsia="Candara" w:hAnsi="Candara" w:cs="Candara"/>
          <w:color w:val="000000"/>
          <w:sz w:val="20"/>
          <w:szCs w:val="20"/>
        </w:rPr>
        <w:t>.</w:t>
      </w:r>
    </w:p>
    <w:p w14:paraId="36A0F696" w14:textId="77777777" w:rsidR="005C2248" w:rsidRPr="005C2248" w:rsidRDefault="005C2248" w:rsidP="0005725D">
      <w:pPr>
        <w:pBdr>
          <w:top w:val="nil"/>
          <w:left w:val="nil"/>
          <w:bottom w:val="nil"/>
          <w:right w:val="nil"/>
          <w:between w:val="nil"/>
        </w:pBdr>
        <w:spacing w:before="1" w:after="0" w:line="240" w:lineRule="auto"/>
        <w:jc w:val="both"/>
        <w:rPr>
          <w:rFonts w:ascii="Candara" w:eastAsia="Candara" w:hAnsi="Candara" w:cs="Candara"/>
          <w:b/>
          <w:bCs/>
          <w:color w:val="000000"/>
          <w:sz w:val="20"/>
          <w:szCs w:val="20"/>
        </w:rPr>
      </w:pPr>
      <w:r w:rsidRPr="005C2248">
        <w:rPr>
          <w:rFonts w:ascii="Candara" w:eastAsia="Candara" w:hAnsi="Candara" w:cs="Candara"/>
          <w:b/>
          <w:bCs/>
          <w:color w:val="000000"/>
          <w:sz w:val="20"/>
          <w:szCs w:val="20"/>
        </w:rPr>
        <w:t>Tabel 2</w:t>
      </w:r>
    </w:p>
    <w:p w14:paraId="5820A5E4" w14:textId="77777777" w:rsidR="005C2248" w:rsidRPr="005C2248" w:rsidRDefault="005C2248" w:rsidP="0005725D">
      <w:pPr>
        <w:pBdr>
          <w:top w:val="nil"/>
          <w:left w:val="nil"/>
          <w:bottom w:val="nil"/>
          <w:right w:val="nil"/>
          <w:between w:val="nil"/>
        </w:pBdr>
        <w:spacing w:before="1" w:after="0" w:line="240" w:lineRule="auto"/>
        <w:jc w:val="both"/>
        <w:rPr>
          <w:rFonts w:ascii="Candara" w:eastAsia="Candara" w:hAnsi="Candara" w:cs="Candara"/>
          <w:color w:val="000000"/>
          <w:sz w:val="20"/>
          <w:szCs w:val="20"/>
        </w:rPr>
      </w:pPr>
      <w:r w:rsidRPr="005C2248">
        <w:rPr>
          <w:rFonts w:ascii="Candara" w:eastAsia="Candara" w:hAnsi="Candara" w:cs="Candara"/>
          <w:color w:val="000000"/>
          <w:sz w:val="20"/>
          <w:szCs w:val="20"/>
        </w:rPr>
        <w:t>Uji regresi moderasi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8"/>
        <w:gridCol w:w="1030"/>
        <w:gridCol w:w="923"/>
        <w:gridCol w:w="1425"/>
      </w:tblGrid>
      <w:tr w:rsidR="005C2248" w:rsidRPr="005C2248" w14:paraId="3D548145" w14:textId="77777777" w:rsidTr="005C2248">
        <w:trPr>
          <w:trHeight w:val="240"/>
        </w:trPr>
        <w:tc>
          <w:tcPr>
            <w:tcW w:w="1538" w:type="dxa"/>
            <w:tcBorders>
              <w:top w:val="single" w:sz="4" w:space="0" w:color="auto"/>
              <w:bottom w:val="single" w:sz="4" w:space="0" w:color="auto"/>
            </w:tcBorders>
          </w:tcPr>
          <w:p w14:paraId="77890E04" w14:textId="77777777" w:rsidR="005C2248" w:rsidRPr="005C2248" w:rsidRDefault="005C2248" w:rsidP="005C2248">
            <w:pPr>
              <w:pStyle w:val="ListParagraph"/>
              <w:ind w:left="0"/>
              <w:jc w:val="both"/>
              <w:rPr>
                <w:rFonts w:ascii="Candara" w:hAnsi="Candara"/>
                <w:b/>
                <w:bCs/>
              </w:rPr>
            </w:pPr>
            <w:r w:rsidRPr="005C2248">
              <w:rPr>
                <w:rFonts w:ascii="Candara" w:hAnsi="Candara"/>
                <w:b/>
                <w:bCs/>
              </w:rPr>
              <w:t xml:space="preserve">Variabel </w:t>
            </w:r>
          </w:p>
        </w:tc>
        <w:tc>
          <w:tcPr>
            <w:tcW w:w="1030" w:type="dxa"/>
            <w:tcBorders>
              <w:top w:val="single" w:sz="4" w:space="0" w:color="auto"/>
              <w:bottom w:val="single" w:sz="4" w:space="0" w:color="auto"/>
            </w:tcBorders>
          </w:tcPr>
          <w:p w14:paraId="5FEBA8C3" w14:textId="77777777" w:rsidR="005C2248" w:rsidRPr="005C2248" w:rsidRDefault="005C2248" w:rsidP="005C2248">
            <w:pPr>
              <w:pStyle w:val="ListParagraph"/>
              <w:ind w:left="0"/>
              <w:jc w:val="both"/>
              <w:rPr>
                <w:rFonts w:ascii="Candara" w:hAnsi="Candara"/>
                <w:b/>
                <w:bCs/>
              </w:rPr>
            </w:pPr>
            <w:r w:rsidRPr="005C2248">
              <w:rPr>
                <w:rFonts w:ascii="Candara" w:hAnsi="Candara"/>
                <w:b/>
                <w:bCs/>
              </w:rPr>
              <w:t>β</w:t>
            </w:r>
          </w:p>
        </w:tc>
        <w:tc>
          <w:tcPr>
            <w:tcW w:w="923" w:type="dxa"/>
            <w:tcBorders>
              <w:top w:val="single" w:sz="4" w:space="0" w:color="auto"/>
              <w:bottom w:val="single" w:sz="4" w:space="0" w:color="auto"/>
            </w:tcBorders>
          </w:tcPr>
          <w:p w14:paraId="6EB61DAC" w14:textId="77777777" w:rsidR="005C2248" w:rsidRPr="005C2248" w:rsidRDefault="005C2248" w:rsidP="005C2248">
            <w:pPr>
              <w:pStyle w:val="ListParagraph"/>
              <w:ind w:left="0"/>
              <w:jc w:val="both"/>
              <w:rPr>
                <w:rFonts w:ascii="Candara" w:hAnsi="Candara"/>
                <w:b/>
                <w:bCs/>
              </w:rPr>
            </w:pPr>
            <w:r w:rsidRPr="005C2248">
              <w:rPr>
                <w:rFonts w:ascii="Candara" w:hAnsi="Candara"/>
                <w:b/>
                <w:bCs/>
              </w:rPr>
              <w:t>p</w:t>
            </w:r>
          </w:p>
        </w:tc>
        <w:tc>
          <w:tcPr>
            <w:tcW w:w="1425" w:type="dxa"/>
            <w:tcBorders>
              <w:top w:val="single" w:sz="4" w:space="0" w:color="auto"/>
              <w:bottom w:val="single" w:sz="4" w:space="0" w:color="auto"/>
            </w:tcBorders>
          </w:tcPr>
          <w:p w14:paraId="5B9D51B5" w14:textId="77777777" w:rsidR="005C2248" w:rsidRPr="005C2248" w:rsidRDefault="005C2248" w:rsidP="005C2248">
            <w:pPr>
              <w:pStyle w:val="ListParagraph"/>
              <w:ind w:left="0"/>
              <w:jc w:val="both"/>
              <w:rPr>
                <w:rFonts w:ascii="Candara" w:hAnsi="Candara"/>
                <w:b/>
                <w:bCs/>
              </w:rPr>
            </w:pPr>
            <w:r w:rsidRPr="005C2248">
              <w:rPr>
                <w:rFonts w:ascii="Candara" w:hAnsi="Candara"/>
                <w:b/>
                <w:bCs/>
              </w:rPr>
              <w:t xml:space="preserve">Keterangan </w:t>
            </w:r>
          </w:p>
        </w:tc>
      </w:tr>
      <w:tr w:rsidR="005C2248" w:rsidRPr="005C2248" w14:paraId="5FB8959E" w14:textId="77777777" w:rsidTr="005C2248">
        <w:trPr>
          <w:trHeight w:val="1499"/>
        </w:trPr>
        <w:tc>
          <w:tcPr>
            <w:tcW w:w="1538" w:type="dxa"/>
            <w:tcBorders>
              <w:top w:val="single" w:sz="4" w:space="0" w:color="auto"/>
              <w:bottom w:val="single" w:sz="4" w:space="0" w:color="auto"/>
            </w:tcBorders>
          </w:tcPr>
          <w:p w14:paraId="6DEFF8D9" w14:textId="77777777" w:rsidR="005C2248" w:rsidRPr="005C2248" w:rsidRDefault="005C2248" w:rsidP="005C2248">
            <w:pPr>
              <w:pStyle w:val="ListParagraph"/>
              <w:ind w:left="0"/>
              <w:jc w:val="both"/>
              <w:rPr>
                <w:rFonts w:ascii="Candara" w:hAnsi="Candara"/>
              </w:rPr>
            </w:pPr>
            <w:r w:rsidRPr="005C2248">
              <w:rPr>
                <w:rFonts w:ascii="Candara" w:hAnsi="Candara"/>
                <w:i/>
                <w:iCs/>
              </w:rPr>
              <w:t xml:space="preserve">Peer social support </w:t>
            </w:r>
            <w:r w:rsidRPr="005C2248">
              <w:rPr>
                <w:rFonts w:ascii="Candara" w:hAnsi="Candara"/>
              </w:rPr>
              <w:t>(X)</w:t>
            </w:r>
          </w:p>
          <w:p w14:paraId="2A2A934C" w14:textId="77777777" w:rsidR="005C2248" w:rsidRPr="005C2248" w:rsidRDefault="005C2248" w:rsidP="005C2248">
            <w:pPr>
              <w:pStyle w:val="ListParagraph"/>
              <w:ind w:left="0"/>
              <w:jc w:val="both"/>
              <w:rPr>
                <w:rFonts w:ascii="Candara" w:hAnsi="Candara"/>
                <w:i/>
                <w:iCs/>
              </w:rPr>
            </w:pPr>
            <w:r w:rsidRPr="005C2248">
              <w:rPr>
                <w:rFonts w:ascii="Candara" w:hAnsi="Candara"/>
                <w:i/>
                <w:iCs/>
              </w:rPr>
              <w:t xml:space="preserve">Savoring </w:t>
            </w:r>
            <w:r w:rsidRPr="005C2248">
              <w:rPr>
                <w:rFonts w:ascii="Candara" w:hAnsi="Candara"/>
              </w:rPr>
              <w:t>(M)</w:t>
            </w:r>
            <w:r w:rsidRPr="005C2248">
              <w:rPr>
                <w:rFonts w:ascii="Candara" w:hAnsi="Candara"/>
                <w:i/>
                <w:iCs/>
              </w:rPr>
              <w:t xml:space="preserve"> </w:t>
            </w:r>
          </w:p>
          <w:p w14:paraId="3E6184D4" w14:textId="77777777" w:rsidR="005C2248" w:rsidRPr="005C2248" w:rsidRDefault="005C2248" w:rsidP="005C2248">
            <w:pPr>
              <w:pStyle w:val="ListParagraph"/>
              <w:ind w:left="0"/>
              <w:jc w:val="both"/>
              <w:rPr>
                <w:rFonts w:ascii="Candara" w:hAnsi="Candara"/>
              </w:rPr>
            </w:pPr>
            <w:r w:rsidRPr="005C2248">
              <w:rPr>
                <w:rFonts w:ascii="Candara" w:hAnsi="Candara"/>
              </w:rPr>
              <w:t>Interaksi (X*M)</w:t>
            </w:r>
          </w:p>
        </w:tc>
        <w:tc>
          <w:tcPr>
            <w:tcW w:w="1030" w:type="dxa"/>
            <w:tcBorders>
              <w:top w:val="single" w:sz="4" w:space="0" w:color="auto"/>
              <w:bottom w:val="single" w:sz="4" w:space="0" w:color="auto"/>
            </w:tcBorders>
          </w:tcPr>
          <w:p w14:paraId="3E319806" w14:textId="77777777" w:rsidR="005C2248" w:rsidRPr="005C2248" w:rsidRDefault="005C2248" w:rsidP="005C2248">
            <w:pPr>
              <w:pStyle w:val="ListParagraph"/>
              <w:ind w:left="0"/>
              <w:jc w:val="both"/>
              <w:rPr>
                <w:rFonts w:ascii="Candara" w:hAnsi="Candara"/>
              </w:rPr>
            </w:pPr>
            <w:r w:rsidRPr="005C2248">
              <w:rPr>
                <w:rFonts w:ascii="Candara" w:hAnsi="Candara"/>
              </w:rPr>
              <w:t>0.314</w:t>
            </w:r>
          </w:p>
          <w:p w14:paraId="0FA2044F" w14:textId="77777777" w:rsidR="005C2248" w:rsidRPr="005C2248" w:rsidRDefault="005C2248" w:rsidP="005C2248">
            <w:pPr>
              <w:pStyle w:val="ListParagraph"/>
              <w:ind w:left="0"/>
              <w:jc w:val="both"/>
              <w:rPr>
                <w:rFonts w:ascii="Candara" w:hAnsi="Candara"/>
              </w:rPr>
            </w:pPr>
            <w:r w:rsidRPr="005C2248">
              <w:rPr>
                <w:rFonts w:ascii="Candara" w:hAnsi="Candara"/>
              </w:rPr>
              <w:t>0.254</w:t>
            </w:r>
          </w:p>
          <w:p w14:paraId="558C1447" w14:textId="77777777" w:rsidR="005C2248" w:rsidRPr="005C2248" w:rsidRDefault="005C2248" w:rsidP="005C2248">
            <w:pPr>
              <w:pStyle w:val="ListParagraph"/>
              <w:ind w:left="0"/>
              <w:jc w:val="both"/>
              <w:rPr>
                <w:rFonts w:ascii="Candara" w:hAnsi="Candara"/>
              </w:rPr>
            </w:pPr>
            <w:r w:rsidRPr="005C2248">
              <w:rPr>
                <w:rFonts w:ascii="Candara" w:hAnsi="Candara"/>
              </w:rPr>
              <w:t>-0.003</w:t>
            </w:r>
          </w:p>
        </w:tc>
        <w:tc>
          <w:tcPr>
            <w:tcW w:w="923" w:type="dxa"/>
            <w:tcBorders>
              <w:top w:val="single" w:sz="4" w:space="0" w:color="auto"/>
              <w:bottom w:val="single" w:sz="4" w:space="0" w:color="auto"/>
            </w:tcBorders>
          </w:tcPr>
          <w:p w14:paraId="79F2CFDD" w14:textId="77777777" w:rsidR="005C2248" w:rsidRPr="005C2248" w:rsidRDefault="005C2248" w:rsidP="005C2248">
            <w:pPr>
              <w:pStyle w:val="ListParagraph"/>
              <w:ind w:left="0"/>
              <w:jc w:val="both"/>
              <w:rPr>
                <w:rFonts w:ascii="Candara" w:hAnsi="Candara"/>
              </w:rPr>
            </w:pPr>
            <w:r w:rsidRPr="005C2248">
              <w:rPr>
                <w:rFonts w:ascii="Candara" w:hAnsi="Candara"/>
              </w:rPr>
              <w:t>0.546</w:t>
            </w:r>
          </w:p>
          <w:p w14:paraId="731D5CF3" w14:textId="77777777" w:rsidR="005C2248" w:rsidRPr="005C2248" w:rsidRDefault="005C2248" w:rsidP="005C2248">
            <w:pPr>
              <w:pStyle w:val="ListParagraph"/>
              <w:ind w:left="0"/>
              <w:jc w:val="both"/>
              <w:rPr>
                <w:rFonts w:ascii="Candara" w:hAnsi="Candara"/>
              </w:rPr>
            </w:pPr>
            <w:r w:rsidRPr="005C2248">
              <w:rPr>
                <w:rFonts w:ascii="Candara" w:hAnsi="Candara"/>
              </w:rPr>
              <w:t>0.627</w:t>
            </w:r>
          </w:p>
          <w:p w14:paraId="4883C64C" w14:textId="77777777" w:rsidR="005C2248" w:rsidRPr="005C2248" w:rsidRDefault="005C2248" w:rsidP="005C2248">
            <w:pPr>
              <w:pStyle w:val="ListParagraph"/>
              <w:ind w:left="0"/>
              <w:jc w:val="both"/>
              <w:rPr>
                <w:rFonts w:ascii="Candara" w:hAnsi="Candara"/>
              </w:rPr>
            </w:pPr>
            <w:r w:rsidRPr="005C2248">
              <w:rPr>
                <w:rFonts w:ascii="Candara" w:hAnsi="Candara"/>
              </w:rPr>
              <w:t>0.609</w:t>
            </w:r>
          </w:p>
        </w:tc>
        <w:tc>
          <w:tcPr>
            <w:tcW w:w="1425" w:type="dxa"/>
            <w:tcBorders>
              <w:top w:val="single" w:sz="4" w:space="0" w:color="auto"/>
              <w:bottom w:val="single" w:sz="4" w:space="0" w:color="auto"/>
            </w:tcBorders>
          </w:tcPr>
          <w:p w14:paraId="025B1A5E" w14:textId="77777777" w:rsidR="005C2248" w:rsidRPr="005C2248" w:rsidRDefault="005C2248" w:rsidP="005C2248">
            <w:pPr>
              <w:pStyle w:val="ListParagraph"/>
              <w:ind w:left="0"/>
              <w:jc w:val="both"/>
              <w:rPr>
                <w:rFonts w:ascii="Candara" w:hAnsi="Candara"/>
              </w:rPr>
            </w:pPr>
            <w:r w:rsidRPr="005C2248">
              <w:rPr>
                <w:rFonts w:ascii="Candara" w:hAnsi="Candara"/>
              </w:rPr>
              <w:t>Tidak signifikan</w:t>
            </w:r>
          </w:p>
          <w:p w14:paraId="7C0F49EF" w14:textId="77777777" w:rsidR="005C2248" w:rsidRPr="005C2248" w:rsidRDefault="005C2248" w:rsidP="005C2248">
            <w:pPr>
              <w:pStyle w:val="ListParagraph"/>
              <w:ind w:left="0"/>
              <w:jc w:val="both"/>
              <w:rPr>
                <w:rFonts w:ascii="Candara" w:hAnsi="Candara"/>
              </w:rPr>
            </w:pPr>
            <w:r w:rsidRPr="005C2248">
              <w:rPr>
                <w:rFonts w:ascii="Candara" w:hAnsi="Candara"/>
              </w:rPr>
              <w:t>Tidak signifikan</w:t>
            </w:r>
          </w:p>
          <w:p w14:paraId="71944218" w14:textId="77777777" w:rsidR="005C2248" w:rsidRPr="005C2248" w:rsidRDefault="005C2248" w:rsidP="005C2248">
            <w:pPr>
              <w:pStyle w:val="ListParagraph"/>
              <w:ind w:left="0"/>
              <w:jc w:val="both"/>
              <w:rPr>
                <w:rFonts w:ascii="Candara" w:hAnsi="Candara"/>
              </w:rPr>
            </w:pPr>
            <w:r w:rsidRPr="005C2248">
              <w:rPr>
                <w:rFonts w:ascii="Candara" w:hAnsi="Candara"/>
              </w:rPr>
              <w:t xml:space="preserve">Tidak signifikan </w:t>
            </w:r>
          </w:p>
        </w:tc>
      </w:tr>
    </w:tbl>
    <w:p w14:paraId="4750B4D3" w14:textId="77777777" w:rsidR="005C2248" w:rsidRPr="005C2248" w:rsidRDefault="005C2248" w:rsidP="0005725D">
      <w:pPr>
        <w:pBdr>
          <w:top w:val="nil"/>
          <w:left w:val="nil"/>
          <w:bottom w:val="nil"/>
          <w:right w:val="nil"/>
          <w:between w:val="nil"/>
        </w:pBdr>
        <w:spacing w:before="1" w:after="0" w:line="240" w:lineRule="auto"/>
        <w:ind w:firstLine="851"/>
        <w:jc w:val="both"/>
        <w:rPr>
          <w:rFonts w:ascii="Candara" w:eastAsia="Candara" w:hAnsi="Candara" w:cs="Candara"/>
          <w:color w:val="000000"/>
          <w:sz w:val="20"/>
          <w:szCs w:val="20"/>
        </w:rPr>
      </w:pPr>
    </w:p>
    <w:p w14:paraId="7E35E81A" w14:textId="2B7B96FE" w:rsidR="005C2248" w:rsidRDefault="005C2248" w:rsidP="00C5542B">
      <w:pPr>
        <w:pBdr>
          <w:top w:val="nil"/>
          <w:left w:val="nil"/>
          <w:bottom w:val="nil"/>
          <w:right w:val="nil"/>
          <w:between w:val="nil"/>
        </w:pBdr>
        <w:spacing w:before="1" w:after="0" w:line="240" w:lineRule="auto"/>
        <w:ind w:right="140" w:firstLine="851"/>
        <w:jc w:val="both"/>
        <w:rPr>
          <w:rFonts w:ascii="Candara" w:hAnsi="Candara"/>
          <w:sz w:val="20"/>
          <w:szCs w:val="20"/>
        </w:rPr>
      </w:pPr>
      <w:r w:rsidRPr="005C2248">
        <w:rPr>
          <w:rFonts w:ascii="Candara" w:eastAsia="Candara" w:hAnsi="Candara" w:cs="Candara"/>
          <w:color w:val="000000"/>
          <w:sz w:val="20"/>
          <w:szCs w:val="20"/>
        </w:rPr>
        <w:t xml:space="preserve">Berdasarkan tabel uji regresi moderasi </w:t>
      </w:r>
      <w:r w:rsidRPr="005C2248">
        <w:rPr>
          <w:rFonts w:ascii="Candara" w:hAnsi="Candara"/>
          <w:sz w:val="20"/>
          <w:szCs w:val="20"/>
        </w:rPr>
        <w:t xml:space="preserve">diperoleh nilai koefisien regresi variabel </w:t>
      </w:r>
      <w:r w:rsidRPr="005C2248">
        <w:rPr>
          <w:rFonts w:ascii="Candara" w:hAnsi="Candara"/>
          <w:i/>
          <w:iCs/>
          <w:sz w:val="20"/>
          <w:szCs w:val="20"/>
        </w:rPr>
        <w:t>peer social support</w:t>
      </w:r>
      <w:r w:rsidRPr="005C2248">
        <w:rPr>
          <w:rFonts w:ascii="Candara" w:hAnsi="Candara"/>
          <w:sz w:val="20"/>
          <w:szCs w:val="20"/>
        </w:rPr>
        <w:t xml:space="preserve"> terhadap </w:t>
      </w:r>
      <w:r w:rsidRPr="005C2248">
        <w:rPr>
          <w:rFonts w:ascii="Candara" w:hAnsi="Candara"/>
          <w:i/>
          <w:iCs/>
          <w:sz w:val="20"/>
          <w:szCs w:val="20"/>
        </w:rPr>
        <w:t>social well-being</w:t>
      </w:r>
      <w:r w:rsidRPr="005C2248">
        <w:rPr>
          <w:rFonts w:ascii="Candara" w:hAnsi="Candara"/>
          <w:sz w:val="20"/>
          <w:szCs w:val="20"/>
        </w:rPr>
        <w:t xml:space="preserve"> sebesar β = 0.314; p = 0.546 (p &lt; 0.05) yang men</w:t>
      </w:r>
      <w:r w:rsidR="002E4E75">
        <w:rPr>
          <w:rFonts w:ascii="Candara" w:hAnsi="Candara"/>
          <w:sz w:val="20"/>
          <w:szCs w:val="20"/>
        </w:rPr>
        <w:t>gungkapkan</w:t>
      </w:r>
      <w:r w:rsidRPr="005C2248">
        <w:rPr>
          <w:rFonts w:ascii="Candara" w:hAnsi="Candara"/>
          <w:sz w:val="20"/>
          <w:szCs w:val="20"/>
        </w:rPr>
        <w:t xml:space="preserve"> bahwa </w:t>
      </w:r>
      <w:r w:rsidRPr="005C2248">
        <w:rPr>
          <w:rFonts w:ascii="Candara" w:hAnsi="Candara"/>
          <w:i/>
          <w:iCs/>
          <w:sz w:val="20"/>
          <w:szCs w:val="20"/>
        </w:rPr>
        <w:t>peer social support</w:t>
      </w:r>
      <w:r w:rsidRPr="005C2248">
        <w:rPr>
          <w:rFonts w:ascii="Candara" w:hAnsi="Candara"/>
          <w:sz w:val="20"/>
          <w:szCs w:val="20"/>
        </w:rPr>
        <w:t xml:space="preserve"> tidak mem</w:t>
      </w:r>
      <w:r w:rsidR="002E4E75">
        <w:rPr>
          <w:rFonts w:ascii="Candara" w:hAnsi="Candara"/>
          <w:sz w:val="20"/>
          <w:szCs w:val="20"/>
        </w:rPr>
        <w:t xml:space="preserve">punyai </w:t>
      </w:r>
      <w:r w:rsidRPr="005C2248">
        <w:rPr>
          <w:rFonts w:ascii="Candara" w:hAnsi="Candara"/>
          <w:sz w:val="20"/>
          <w:szCs w:val="20"/>
        </w:rPr>
        <w:t>pengaruh signifikan</w:t>
      </w:r>
      <w:r w:rsidRPr="005C2248">
        <w:rPr>
          <w:rFonts w:ascii="Candara" w:hAnsi="Candara"/>
          <w:i/>
          <w:iCs/>
          <w:sz w:val="20"/>
          <w:szCs w:val="20"/>
        </w:rPr>
        <w:t xml:space="preserve"> </w:t>
      </w:r>
      <w:r w:rsidRPr="005C2248">
        <w:rPr>
          <w:rFonts w:ascii="Candara" w:hAnsi="Candara"/>
          <w:sz w:val="20"/>
          <w:szCs w:val="20"/>
        </w:rPr>
        <w:t xml:space="preserve">terhadap </w:t>
      </w:r>
      <w:r w:rsidRPr="005C2248">
        <w:rPr>
          <w:rFonts w:ascii="Candara" w:hAnsi="Candara"/>
          <w:i/>
          <w:iCs/>
          <w:sz w:val="20"/>
          <w:szCs w:val="20"/>
        </w:rPr>
        <w:t>social well-being</w:t>
      </w:r>
      <w:r w:rsidRPr="005C2248">
        <w:rPr>
          <w:rFonts w:ascii="Candara" w:hAnsi="Candara"/>
          <w:sz w:val="20"/>
          <w:szCs w:val="20"/>
        </w:rPr>
        <w:t xml:space="preserve">. Hal ini menunjukkan bahwa </w:t>
      </w:r>
      <w:r w:rsidRPr="005C2248">
        <w:rPr>
          <w:rFonts w:ascii="Candara" w:hAnsi="Candara"/>
          <w:i/>
          <w:iCs/>
          <w:sz w:val="20"/>
          <w:szCs w:val="20"/>
        </w:rPr>
        <w:t>peer social support</w:t>
      </w:r>
      <w:r w:rsidRPr="005C2248">
        <w:rPr>
          <w:rFonts w:ascii="Candara" w:hAnsi="Candara"/>
          <w:sz w:val="20"/>
          <w:szCs w:val="20"/>
        </w:rPr>
        <w:t xml:space="preserve"> tidak terbukti meningkatkan </w:t>
      </w:r>
      <w:r w:rsidRPr="005C2248">
        <w:rPr>
          <w:rFonts w:ascii="Candara" w:hAnsi="Candara"/>
          <w:i/>
          <w:iCs/>
          <w:sz w:val="20"/>
          <w:szCs w:val="20"/>
        </w:rPr>
        <w:t>social well-being</w:t>
      </w:r>
      <w:r w:rsidRPr="005C2248">
        <w:rPr>
          <w:rFonts w:ascii="Candara" w:hAnsi="Candara"/>
          <w:sz w:val="20"/>
          <w:szCs w:val="20"/>
        </w:rPr>
        <w:t xml:space="preserve"> siswa secara signifikan. Hasil nilai koefisien regresi variabel </w:t>
      </w:r>
      <w:r w:rsidRPr="005C2248">
        <w:rPr>
          <w:rFonts w:ascii="Candara" w:hAnsi="Candara"/>
          <w:i/>
          <w:iCs/>
          <w:sz w:val="20"/>
          <w:szCs w:val="20"/>
        </w:rPr>
        <w:t xml:space="preserve">savoring </w:t>
      </w:r>
      <w:r w:rsidRPr="005C2248">
        <w:rPr>
          <w:rFonts w:ascii="Candara" w:hAnsi="Candara"/>
          <w:sz w:val="20"/>
          <w:szCs w:val="20"/>
        </w:rPr>
        <w:t xml:space="preserve">terhadap </w:t>
      </w:r>
      <w:r w:rsidRPr="005C2248">
        <w:rPr>
          <w:rFonts w:ascii="Candara" w:hAnsi="Candara"/>
          <w:i/>
          <w:iCs/>
          <w:sz w:val="20"/>
          <w:szCs w:val="20"/>
        </w:rPr>
        <w:t xml:space="preserve">social well-being </w:t>
      </w:r>
      <w:r w:rsidRPr="005C2248">
        <w:rPr>
          <w:rFonts w:ascii="Candara" w:hAnsi="Candara"/>
          <w:sz w:val="20"/>
          <w:szCs w:val="20"/>
        </w:rPr>
        <w:t xml:space="preserve">sebesar β = 0.254; p = 0.627 (p &lt; 0.05), maka hasil tersebut </w:t>
      </w:r>
      <w:r w:rsidR="002E4E75">
        <w:rPr>
          <w:rFonts w:ascii="Candara" w:hAnsi="Candara"/>
          <w:sz w:val="20"/>
          <w:szCs w:val="20"/>
        </w:rPr>
        <w:t>membuktikan</w:t>
      </w:r>
      <w:r w:rsidRPr="005C2248">
        <w:rPr>
          <w:rFonts w:ascii="Candara" w:hAnsi="Candara"/>
          <w:sz w:val="20"/>
          <w:szCs w:val="20"/>
        </w:rPr>
        <w:t xml:space="preserve"> bahwa </w:t>
      </w:r>
      <w:r w:rsidRPr="005C2248">
        <w:rPr>
          <w:rFonts w:ascii="Candara" w:hAnsi="Candara"/>
          <w:i/>
          <w:iCs/>
          <w:sz w:val="20"/>
          <w:szCs w:val="20"/>
        </w:rPr>
        <w:t xml:space="preserve">savoring </w:t>
      </w:r>
      <w:r w:rsidRPr="005C2248">
        <w:rPr>
          <w:rFonts w:ascii="Candara" w:hAnsi="Candara"/>
          <w:sz w:val="20"/>
          <w:szCs w:val="20"/>
        </w:rPr>
        <w:t xml:space="preserve">tidak secara signifikan mempengaruhi tingkat </w:t>
      </w:r>
      <w:r w:rsidRPr="005C2248">
        <w:rPr>
          <w:rFonts w:ascii="Candara" w:hAnsi="Candara"/>
          <w:i/>
          <w:iCs/>
          <w:sz w:val="20"/>
          <w:szCs w:val="20"/>
        </w:rPr>
        <w:t>social well-being</w:t>
      </w:r>
      <w:r w:rsidRPr="005C2248">
        <w:rPr>
          <w:rFonts w:ascii="Candara" w:hAnsi="Candara"/>
          <w:sz w:val="20"/>
          <w:szCs w:val="20"/>
        </w:rPr>
        <w:t xml:space="preserve">. Hal ini menunjukkan bahwa </w:t>
      </w:r>
      <w:r w:rsidRPr="005C2248">
        <w:rPr>
          <w:rFonts w:ascii="Candara" w:hAnsi="Candara"/>
          <w:i/>
          <w:iCs/>
          <w:sz w:val="20"/>
          <w:szCs w:val="20"/>
        </w:rPr>
        <w:t>savoring</w:t>
      </w:r>
      <w:r w:rsidRPr="005C2248">
        <w:rPr>
          <w:rFonts w:ascii="Candara" w:hAnsi="Candara"/>
          <w:sz w:val="20"/>
          <w:szCs w:val="20"/>
        </w:rPr>
        <w:t xml:space="preserve"> tidak berpengaruh terhadap </w:t>
      </w:r>
      <w:r w:rsidRPr="005C2248">
        <w:rPr>
          <w:rFonts w:ascii="Candara" w:hAnsi="Candara"/>
          <w:i/>
          <w:iCs/>
          <w:sz w:val="20"/>
          <w:szCs w:val="20"/>
        </w:rPr>
        <w:t>social well-being</w:t>
      </w:r>
      <w:r w:rsidRPr="005C2248">
        <w:rPr>
          <w:rFonts w:ascii="Candara" w:hAnsi="Candara"/>
          <w:sz w:val="20"/>
          <w:szCs w:val="20"/>
        </w:rPr>
        <w:t xml:space="preserve"> siswa. Selain itu, berdasarkan tabel hasil uji regresi moderasi menunjukkan bahwa hasil interaksi variabel </w:t>
      </w:r>
      <w:r w:rsidRPr="005C2248">
        <w:rPr>
          <w:rFonts w:ascii="Candara" w:hAnsi="Candara"/>
          <w:i/>
          <w:iCs/>
          <w:sz w:val="20"/>
          <w:szCs w:val="20"/>
        </w:rPr>
        <w:t xml:space="preserve">savoring </w:t>
      </w:r>
      <w:r w:rsidRPr="005C2248">
        <w:rPr>
          <w:rFonts w:ascii="Candara" w:hAnsi="Candara"/>
          <w:sz w:val="20"/>
          <w:szCs w:val="20"/>
        </w:rPr>
        <w:t xml:space="preserve">terhadap pengaruh antara variabel </w:t>
      </w:r>
      <w:r w:rsidRPr="005C2248">
        <w:rPr>
          <w:rFonts w:ascii="Candara" w:hAnsi="Candara"/>
          <w:i/>
          <w:iCs/>
          <w:sz w:val="20"/>
          <w:szCs w:val="20"/>
        </w:rPr>
        <w:t xml:space="preserve">peer social support </w:t>
      </w:r>
      <w:r w:rsidRPr="005C2248">
        <w:rPr>
          <w:rFonts w:ascii="Candara" w:hAnsi="Candara"/>
          <w:sz w:val="20"/>
          <w:szCs w:val="20"/>
        </w:rPr>
        <w:t xml:space="preserve">terhadap </w:t>
      </w:r>
      <w:r w:rsidRPr="005C2248">
        <w:rPr>
          <w:rFonts w:ascii="Candara" w:hAnsi="Candara"/>
          <w:i/>
          <w:iCs/>
          <w:sz w:val="20"/>
          <w:szCs w:val="20"/>
        </w:rPr>
        <w:t xml:space="preserve">social well-being </w:t>
      </w:r>
      <w:r w:rsidRPr="005C2248">
        <w:rPr>
          <w:rFonts w:ascii="Candara" w:hAnsi="Candara"/>
          <w:sz w:val="20"/>
          <w:szCs w:val="20"/>
        </w:rPr>
        <w:t>diperoleh sebesar β = -0.003; p = 0.609 (p &lt; 0.05). hal ini men</w:t>
      </w:r>
      <w:r w:rsidR="002E4E75">
        <w:rPr>
          <w:rFonts w:ascii="Candara" w:hAnsi="Candara"/>
          <w:sz w:val="20"/>
          <w:szCs w:val="20"/>
        </w:rPr>
        <w:t>yatakan</w:t>
      </w:r>
      <w:r w:rsidRPr="005C2248">
        <w:rPr>
          <w:rFonts w:ascii="Candara" w:hAnsi="Candara"/>
          <w:sz w:val="20"/>
          <w:szCs w:val="20"/>
        </w:rPr>
        <w:t xml:space="preserve"> bahwa </w:t>
      </w:r>
      <w:r w:rsidRPr="005C2248">
        <w:rPr>
          <w:rFonts w:ascii="Candara" w:hAnsi="Candara"/>
          <w:i/>
          <w:iCs/>
          <w:sz w:val="20"/>
          <w:szCs w:val="20"/>
        </w:rPr>
        <w:t xml:space="preserve">savoring </w:t>
      </w:r>
      <w:r w:rsidRPr="005C2248">
        <w:rPr>
          <w:rFonts w:ascii="Candara" w:hAnsi="Candara"/>
          <w:sz w:val="20"/>
          <w:szCs w:val="20"/>
        </w:rPr>
        <w:t xml:space="preserve">tidak dapat memoderasi pengaruh antara </w:t>
      </w:r>
      <w:r w:rsidRPr="005C2248">
        <w:rPr>
          <w:rFonts w:ascii="Candara" w:hAnsi="Candara"/>
          <w:i/>
          <w:iCs/>
          <w:sz w:val="20"/>
          <w:szCs w:val="20"/>
        </w:rPr>
        <w:t>peer social support</w:t>
      </w:r>
      <w:r w:rsidRPr="005C2248">
        <w:rPr>
          <w:rFonts w:ascii="Candara" w:hAnsi="Candara"/>
          <w:sz w:val="20"/>
          <w:szCs w:val="20"/>
        </w:rPr>
        <w:t xml:space="preserve"> terhadap </w:t>
      </w:r>
      <w:r w:rsidRPr="005C2248">
        <w:rPr>
          <w:rFonts w:ascii="Candara" w:hAnsi="Candara"/>
          <w:i/>
          <w:iCs/>
          <w:sz w:val="20"/>
          <w:szCs w:val="20"/>
        </w:rPr>
        <w:t xml:space="preserve">social well-being </w:t>
      </w:r>
      <w:r w:rsidRPr="005C2248">
        <w:rPr>
          <w:rFonts w:ascii="Candara" w:hAnsi="Candara"/>
          <w:sz w:val="20"/>
          <w:szCs w:val="20"/>
        </w:rPr>
        <w:t xml:space="preserve">pada remaja. </w:t>
      </w:r>
    </w:p>
    <w:p w14:paraId="230B9257" w14:textId="77777777" w:rsidR="00573E35" w:rsidRDefault="00573E35" w:rsidP="0005725D">
      <w:pPr>
        <w:pBdr>
          <w:top w:val="nil"/>
          <w:left w:val="nil"/>
          <w:bottom w:val="nil"/>
          <w:right w:val="nil"/>
          <w:between w:val="nil"/>
        </w:pBdr>
        <w:spacing w:before="1" w:after="0" w:line="240" w:lineRule="auto"/>
        <w:ind w:firstLine="851"/>
        <w:jc w:val="both"/>
        <w:rPr>
          <w:rFonts w:ascii="Candara" w:hAnsi="Candara"/>
          <w:sz w:val="20"/>
          <w:szCs w:val="20"/>
        </w:rPr>
      </w:pPr>
    </w:p>
    <w:p w14:paraId="4290BFB7" w14:textId="77777777" w:rsidR="00573E35" w:rsidRDefault="00573E35" w:rsidP="0005725D">
      <w:pPr>
        <w:pBdr>
          <w:top w:val="nil"/>
          <w:left w:val="nil"/>
          <w:bottom w:val="nil"/>
          <w:right w:val="nil"/>
          <w:between w:val="nil"/>
        </w:pBdr>
        <w:spacing w:before="1" w:after="0" w:line="240" w:lineRule="auto"/>
        <w:ind w:firstLine="851"/>
        <w:jc w:val="both"/>
        <w:rPr>
          <w:rFonts w:ascii="Candara" w:hAnsi="Candara"/>
          <w:sz w:val="20"/>
          <w:szCs w:val="20"/>
        </w:rPr>
      </w:pPr>
    </w:p>
    <w:p w14:paraId="2170A30A" w14:textId="77777777" w:rsidR="00573E35" w:rsidRPr="005C2248" w:rsidRDefault="00573E35" w:rsidP="00C5542B">
      <w:pPr>
        <w:pBdr>
          <w:top w:val="nil"/>
          <w:left w:val="nil"/>
          <w:bottom w:val="nil"/>
          <w:right w:val="nil"/>
          <w:between w:val="nil"/>
        </w:pBdr>
        <w:spacing w:before="1" w:after="0" w:line="240" w:lineRule="auto"/>
        <w:jc w:val="both"/>
        <w:rPr>
          <w:rFonts w:ascii="Candara" w:hAnsi="Candara"/>
          <w:sz w:val="20"/>
          <w:szCs w:val="20"/>
        </w:rPr>
      </w:pPr>
    </w:p>
    <w:p w14:paraId="75162B66" w14:textId="77777777" w:rsidR="005C2248" w:rsidRPr="005C2248" w:rsidRDefault="005C2248" w:rsidP="0005725D">
      <w:pPr>
        <w:pBdr>
          <w:top w:val="nil"/>
          <w:left w:val="nil"/>
          <w:bottom w:val="nil"/>
          <w:right w:val="nil"/>
          <w:between w:val="nil"/>
        </w:pBdr>
        <w:spacing w:before="1" w:after="0" w:line="240" w:lineRule="auto"/>
        <w:jc w:val="both"/>
        <w:rPr>
          <w:rFonts w:ascii="Candara" w:eastAsia="Candara" w:hAnsi="Candara" w:cs="Candara"/>
          <w:b/>
          <w:bCs/>
          <w:color w:val="000000"/>
          <w:sz w:val="20"/>
          <w:szCs w:val="20"/>
        </w:rPr>
      </w:pPr>
      <w:r w:rsidRPr="005C2248">
        <w:rPr>
          <w:rFonts w:ascii="Candara" w:eastAsia="Candara" w:hAnsi="Candara" w:cs="Candara"/>
          <w:b/>
          <w:bCs/>
          <w:color w:val="000000"/>
          <w:sz w:val="20"/>
          <w:szCs w:val="20"/>
        </w:rPr>
        <w:t>Gambar 1</w:t>
      </w:r>
    </w:p>
    <w:p w14:paraId="6E8BCEEE" w14:textId="77777777" w:rsidR="005C2248" w:rsidRPr="005C2248" w:rsidRDefault="005C2248" w:rsidP="0005725D">
      <w:pPr>
        <w:pBdr>
          <w:top w:val="nil"/>
          <w:left w:val="nil"/>
          <w:bottom w:val="nil"/>
          <w:right w:val="nil"/>
          <w:between w:val="nil"/>
        </w:pBdr>
        <w:spacing w:before="1" w:after="0" w:line="240" w:lineRule="auto"/>
        <w:jc w:val="both"/>
        <w:rPr>
          <w:rFonts w:ascii="Candara" w:eastAsia="Candara" w:hAnsi="Candara" w:cs="Candara"/>
          <w:color w:val="000000"/>
          <w:sz w:val="20"/>
          <w:szCs w:val="20"/>
        </w:rPr>
      </w:pPr>
      <w:r w:rsidRPr="005C2248">
        <w:rPr>
          <w:rFonts w:ascii="Candara" w:eastAsia="Candara" w:hAnsi="Candara" w:cs="Candara"/>
          <w:color w:val="000000"/>
          <w:sz w:val="20"/>
          <w:szCs w:val="20"/>
        </w:rPr>
        <w:t>Plot analisis berdasarkan kategorisasi moderasi</w:t>
      </w:r>
    </w:p>
    <w:p w14:paraId="69813448" w14:textId="0A9F13A7" w:rsidR="001C0FDA" w:rsidRPr="005C2248" w:rsidRDefault="005C2248" w:rsidP="005C2248">
      <w:pPr>
        <w:pBdr>
          <w:top w:val="nil"/>
          <w:left w:val="nil"/>
          <w:bottom w:val="nil"/>
          <w:right w:val="nil"/>
          <w:between w:val="nil"/>
        </w:pBdr>
        <w:spacing w:before="1" w:line="276" w:lineRule="auto"/>
        <w:jc w:val="center"/>
        <w:rPr>
          <w:rFonts w:ascii="Candara" w:eastAsia="Candara" w:hAnsi="Candara" w:cs="Candara"/>
          <w:color w:val="000000"/>
          <w:sz w:val="24"/>
          <w:szCs w:val="24"/>
        </w:rPr>
      </w:pPr>
      <w:r w:rsidRPr="008067A0">
        <w:rPr>
          <w:rFonts w:ascii="Times New Roman" w:hAnsi="Times New Roman"/>
          <w:b/>
          <w:bCs/>
          <w:noProof/>
          <w:sz w:val="24"/>
          <w:szCs w:val="24"/>
        </w:rPr>
        <w:drawing>
          <wp:inline distT="0" distB="0" distL="0" distR="0" wp14:anchorId="666FB398" wp14:editId="162E4277">
            <wp:extent cx="3042060" cy="2211572"/>
            <wp:effectExtent l="0" t="0" r="0" b="0"/>
            <wp:docPr id="15233966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17910" cy="2266715"/>
                    </a:xfrm>
                    <a:prstGeom prst="rect">
                      <a:avLst/>
                    </a:prstGeom>
                    <a:noFill/>
                    <a:ln>
                      <a:noFill/>
                    </a:ln>
                  </pic:spPr>
                </pic:pic>
              </a:graphicData>
            </a:graphic>
          </wp:inline>
        </w:drawing>
      </w:r>
    </w:p>
    <w:p w14:paraId="0486CEAE" w14:textId="437B6C60" w:rsidR="005C2248" w:rsidRPr="005C2248" w:rsidRDefault="00934AC7" w:rsidP="005C2248">
      <w:pPr>
        <w:pStyle w:val="Heading"/>
        <w:jc w:val="center"/>
        <w:rPr>
          <w:sz w:val="20"/>
          <w:szCs w:val="20"/>
        </w:rPr>
      </w:pPr>
      <w:r w:rsidRPr="00FE2493">
        <w:rPr>
          <w:sz w:val="20"/>
          <w:szCs w:val="20"/>
        </w:rPr>
        <w:t>Pembahasan</w:t>
      </w:r>
    </w:p>
    <w:p w14:paraId="19F29AD7" w14:textId="77777777" w:rsidR="005C2248" w:rsidRPr="005C2248" w:rsidRDefault="005C2248" w:rsidP="0005725D">
      <w:pPr>
        <w:pBdr>
          <w:top w:val="nil"/>
          <w:left w:val="nil"/>
          <w:bottom w:val="nil"/>
          <w:right w:val="nil"/>
          <w:between w:val="nil"/>
        </w:pBdr>
        <w:spacing w:before="40" w:after="0" w:line="240" w:lineRule="auto"/>
        <w:ind w:firstLine="719"/>
        <w:jc w:val="both"/>
        <w:rPr>
          <w:rFonts w:ascii="Candara" w:hAnsi="Candara"/>
          <w:sz w:val="20"/>
          <w:szCs w:val="20"/>
        </w:rPr>
      </w:pPr>
      <w:r w:rsidRPr="005C2248">
        <w:rPr>
          <w:rFonts w:ascii="Candara" w:eastAsia="Candara" w:hAnsi="Candara" w:cs="Candara"/>
          <w:color w:val="000000"/>
          <w:sz w:val="20"/>
          <w:szCs w:val="20"/>
        </w:rPr>
        <w:t xml:space="preserve">Penelitian ini berupaya untuk mengetahui apakah peran </w:t>
      </w:r>
      <w:r w:rsidRPr="005C2248">
        <w:rPr>
          <w:rFonts w:ascii="Candara" w:eastAsia="Candara" w:hAnsi="Candara" w:cs="Candara"/>
          <w:i/>
          <w:iCs/>
          <w:color w:val="000000"/>
          <w:sz w:val="20"/>
          <w:szCs w:val="20"/>
        </w:rPr>
        <w:t xml:space="preserve">savoring </w:t>
      </w:r>
      <w:r w:rsidRPr="005C2248">
        <w:rPr>
          <w:rFonts w:ascii="Candara" w:eastAsia="Candara" w:hAnsi="Candara" w:cs="Candara"/>
          <w:color w:val="000000"/>
          <w:sz w:val="20"/>
          <w:szCs w:val="20"/>
        </w:rPr>
        <w:t xml:space="preserve">memengaruhi </w:t>
      </w:r>
      <w:r w:rsidRPr="005C2248">
        <w:rPr>
          <w:rFonts w:ascii="Candara" w:eastAsia="Candara" w:hAnsi="Candara" w:cs="Candara"/>
          <w:i/>
          <w:iCs/>
          <w:color w:val="000000"/>
          <w:sz w:val="20"/>
          <w:szCs w:val="20"/>
        </w:rPr>
        <w:t xml:space="preserve">peer social support </w:t>
      </w:r>
      <w:r w:rsidRPr="005C2248">
        <w:rPr>
          <w:rFonts w:ascii="Candara" w:eastAsia="Candara" w:hAnsi="Candara" w:cs="Candara"/>
          <w:color w:val="000000"/>
          <w:sz w:val="20"/>
          <w:szCs w:val="20"/>
        </w:rPr>
        <w:t xml:space="preserve">dan </w:t>
      </w:r>
      <w:r w:rsidRPr="005C2248">
        <w:rPr>
          <w:rFonts w:ascii="Candara" w:eastAsia="Candara" w:hAnsi="Candara" w:cs="Candara"/>
          <w:i/>
          <w:iCs/>
          <w:color w:val="000000"/>
          <w:sz w:val="20"/>
          <w:szCs w:val="20"/>
        </w:rPr>
        <w:t xml:space="preserve">social well-being </w:t>
      </w:r>
      <w:r w:rsidRPr="005C2248">
        <w:rPr>
          <w:rFonts w:ascii="Candara" w:eastAsia="Candara" w:hAnsi="Candara" w:cs="Candara"/>
          <w:color w:val="000000"/>
          <w:sz w:val="20"/>
          <w:szCs w:val="20"/>
        </w:rPr>
        <w:t xml:space="preserve">pada remaja. Analisis membuktikan bahwa hipotesis kami ditolak karena savoring tidak dapat mengubah pengaruh </w:t>
      </w:r>
      <w:r w:rsidRPr="005C2248">
        <w:rPr>
          <w:rFonts w:ascii="Candara" w:eastAsia="Candara" w:hAnsi="Candara" w:cs="Candara"/>
          <w:i/>
          <w:iCs/>
          <w:color w:val="000000"/>
          <w:sz w:val="20"/>
          <w:szCs w:val="20"/>
        </w:rPr>
        <w:t xml:space="preserve">peer social support </w:t>
      </w:r>
      <w:r w:rsidRPr="005C2248">
        <w:rPr>
          <w:rFonts w:ascii="Candara" w:eastAsia="Candara" w:hAnsi="Candara" w:cs="Candara"/>
          <w:color w:val="000000"/>
          <w:sz w:val="20"/>
          <w:szCs w:val="20"/>
        </w:rPr>
        <w:t xml:space="preserve">terhadap </w:t>
      </w:r>
      <w:r w:rsidRPr="005C2248">
        <w:rPr>
          <w:rFonts w:ascii="Candara" w:eastAsia="Candara" w:hAnsi="Candara" w:cs="Candara"/>
          <w:i/>
          <w:iCs/>
          <w:color w:val="000000"/>
          <w:sz w:val="20"/>
          <w:szCs w:val="20"/>
        </w:rPr>
        <w:t xml:space="preserve">social well-being </w:t>
      </w:r>
      <w:r w:rsidRPr="005C2248">
        <w:rPr>
          <w:rFonts w:ascii="Candara" w:eastAsia="Candara" w:hAnsi="Candara" w:cs="Candara"/>
          <w:color w:val="000000"/>
          <w:sz w:val="20"/>
          <w:szCs w:val="20"/>
        </w:rPr>
        <w:t xml:space="preserve">pada remaja. </w:t>
      </w:r>
      <w:bookmarkStart w:id="8" w:name="_Hlk203732282"/>
      <w:r w:rsidRPr="005C2248">
        <w:rPr>
          <w:rFonts w:ascii="Candara" w:hAnsi="Candara"/>
          <w:sz w:val="20"/>
          <w:szCs w:val="20"/>
        </w:rPr>
        <w:t xml:space="preserve">Adapun tidak adanya pengaruh </w:t>
      </w:r>
      <w:r w:rsidRPr="005C2248">
        <w:rPr>
          <w:rFonts w:ascii="Candara" w:hAnsi="Candara"/>
          <w:i/>
          <w:iCs/>
          <w:sz w:val="20"/>
          <w:szCs w:val="20"/>
        </w:rPr>
        <w:t xml:space="preserve">peer social support </w:t>
      </w:r>
      <w:r w:rsidRPr="005C2248">
        <w:rPr>
          <w:rFonts w:ascii="Candara" w:hAnsi="Candara"/>
          <w:sz w:val="20"/>
          <w:szCs w:val="20"/>
        </w:rPr>
        <w:t xml:space="preserve">terhadap </w:t>
      </w:r>
      <w:r w:rsidRPr="005C2248">
        <w:rPr>
          <w:rFonts w:ascii="Candara" w:hAnsi="Candara"/>
          <w:i/>
          <w:iCs/>
          <w:sz w:val="20"/>
          <w:szCs w:val="20"/>
        </w:rPr>
        <w:t xml:space="preserve">social well-being </w:t>
      </w:r>
      <w:r w:rsidRPr="005C2248">
        <w:rPr>
          <w:rFonts w:ascii="Candara" w:hAnsi="Candara"/>
          <w:sz w:val="20"/>
          <w:szCs w:val="20"/>
        </w:rPr>
        <w:t xml:space="preserve">pada penelitian ini disebabkan oleh beberapa faktor. Faktor pertama yaitu kualitas dukungan yang diterima. Berdasarkan hasil kategorisasi, ditemukan bahwa subjek penelitian memiliki interaksi sosial yang tinggi dengan teman sebaya, namun tingkat </w:t>
      </w:r>
      <w:r w:rsidRPr="005C2248">
        <w:rPr>
          <w:rFonts w:ascii="Candara" w:hAnsi="Candara"/>
          <w:i/>
          <w:iCs/>
          <w:sz w:val="20"/>
          <w:szCs w:val="20"/>
        </w:rPr>
        <w:t xml:space="preserve">social well-being </w:t>
      </w:r>
      <w:r w:rsidRPr="005C2248">
        <w:rPr>
          <w:rFonts w:ascii="Candara" w:hAnsi="Candara"/>
          <w:sz w:val="20"/>
          <w:szCs w:val="20"/>
        </w:rPr>
        <w:t xml:space="preserve">cenderung moderat atau rata-rata. Hal ini mengindikasikan bahwa meskipun intensitas interaksi tinggi, kualitas dukungan yang diterima mungkin kurang memadai untuk secara signifikan meningkatkan </w:t>
      </w:r>
      <w:r w:rsidRPr="005C2248">
        <w:rPr>
          <w:rFonts w:ascii="Candara" w:hAnsi="Candara"/>
          <w:i/>
          <w:iCs/>
          <w:sz w:val="20"/>
          <w:szCs w:val="20"/>
        </w:rPr>
        <w:t xml:space="preserve">social well-being </w:t>
      </w:r>
      <w:r w:rsidRPr="005C2248">
        <w:rPr>
          <w:rFonts w:ascii="Candara" w:hAnsi="Candara"/>
          <w:sz w:val="20"/>
          <w:szCs w:val="20"/>
        </w:rPr>
        <w:t xml:space="preserve">mereka. </w:t>
      </w:r>
      <w:bookmarkEnd w:id="8"/>
    </w:p>
    <w:p w14:paraId="0B2AFC28" w14:textId="12B987A3" w:rsidR="005C2248" w:rsidRPr="005C2248" w:rsidRDefault="005C2248" w:rsidP="0005725D">
      <w:pPr>
        <w:pBdr>
          <w:top w:val="nil"/>
          <w:left w:val="nil"/>
          <w:bottom w:val="nil"/>
          <w:right w:val="nil"/>
          <w:between w:val="nil"/>
        </w:pBdr>
        <w:spacing w:before="40" w:after="0" w:line="240" w:lineRule="auto"/>
        <w:ind w:firstLine="719"/>
        <w:jc w:val="both"/>
        <w:rPr>
          <w:rFonts w:ascii="Candara" w:hAnsi="Candara"/>
          <w:sz w:val="20"/>
          <w:szCs w:val="20"/>
        </w:rPr>
      </w:pPr>
      <w:r w:rsidRPr="005C2248">
        <w:rPr>
          <w:rFonts w:ascii="Candara" w:hAnsi="Candara"/>
          <w:sz w:val="20"/>
          <w:szCs w:val="20"/>
        </w:rPr>
        <w:t xml:space="preserve">Padahal, kualitas dukungan yang diterima berpengaruh pada dinamika hubungan sosial remaja. </w:t>
      </w:r>
      <w:bookmarkStart w:id="9" w:name="_Hlk203732291"/>
      <w:r w:rsidRPr="005C2248">
        <w:rPr>
          <w:rFonts w:ascii="Candara" w:hAnsi="Candara"/>
          <w:sz w:val="20"/>
          <w:szCs w:val="20"/>
        </w:rPr>
        <w:t>Faktor kedua, banyak remaja mengalami kesulitan mengakses dukungan sosial, yang penyebabnya seringkali karena stigma yang melekat pada masalah kesehatan mental, keterbatasan sumber daya yang tersedia, dan kurangnya kesadaran di masyarakat.</w:t>
      </w:r>
      <w:bookmarkEnd w:id="9"/>
      <w:r w:rsidRPr="005C2248">
        <w:rPr>
          <w:rFonts w:ascii="Candara" w:hAnsi="Candara"/>
          <w:sz w:val="20"/>
          <w:szCs w:val="20"/>
        </w:rPr>
        <w:t xml:space="preserve"> Akibatnya meskipun </w:t>
      </w:r>
      <w:r w:rsidRPr="005C2248">
        <w:rPr>
          <w:rFonts w:ascii="Candara" w:hAnsi="Candara"/>
          <w:i/>
          <w:iCs/>
          <w:sz w:val="20"/>
          <w:szCs w:val="20"/>
        </w:rPr>
        <w:t xml:space="preserve">peer social support </w:t>
      </w:r>
      <w:r w:rsidRPr="005C2248">
        <w:rPr>
          <w:rFonts w:ascii="Candara" w:hAnsi="Candara"/>
          <w:sz w:val="20"/>
          <w:szCs w:val="20"/>
        </w:rPr>
        <w:t xml:space="preserve">penting dalam perkembangan emosional dan kesejahteraan, justru dari kalangan remaja terjebak dalam isolasi dan kesulitan mengelola stres secara sehat. Faktor ketiga karena kuantitas jumlah teman atau relasi dalam jaringan sosial individu tidak langsung berhubungan dengan tingkat </w:t>
      </w:r>
      <w:r w:rsidRPr="005C2248">
        <w:rPr>
          <w:rFonts w:ascii="Candara" w:hAnsi="Candara"/>
          <w:i/>
          <w:iCs/>
          <w:sz w:val="20"/>
          <w:szCs w:val="20"/>
        </w:rPr>
        <w:t xml:space="preserve">social well-being </w:t>
      </w:r>
      <w:r w:rsidRPr="005C2248">
        <w:rPr>
          <w:rFonts w:ascii="Candara" w:hAnsi="Candara"/>
          <w:i/>
          <w:iCs/>
          <w:sz w:val="20"/>
          <w:szCs w:val="20"/>
        </w:rPr>
        <w:fldChar w:fldCharType="begin" w:fldLock="1"/>
      </w:r>
      <w:r w:rsidR="00A265CC">
        <w:rPr>
          <w:rFonts w:ascii="Candara" w:hAnsi="Candara"/>
          <w:i/>
          <w:iCs/>
          <w:sz w:val="20"/>
          <w:szCs w:val="20"/>
        </w:rPr>
        <w:instrText>ADDIN CSL_CITATION {"citationItems":[{"id":"ITEM-1","itemData":{"DOI":"10.1521/jscp.2010.29.6.624","ISSN":"07367236","abstract":"Research has started to explore the associations between social support and wellbeing among children and adolescents, but the overall relationship is still unclear. This study explored: (1) the overall association between social support and well-being, (2) the association differences among categories of well-being, (3) the association differences among different types of social support measures, (4) the association differences among different support sources, and (5) whether the association between social support and well-being changed with participants' age. Two hundred forty-six studies were collected and analyzed, and the results indicated a positive but small association between social support and well-being. Additionally, moderator analyses indicated that social support was more strongly associated with self-concept, perceived support was more strongly associated with well-being support from teachers and school personnel was more strongly associated with well-being, and the association between social support and wellbeing increased with age. The implications and possible applications of the relationship between social support and well-being among children and adolescents are discussed.","author":[{"dropping-particle":"Sen","family":"Chu","given":"Po","non-dropping-particle":"","parse-names":false,"suffix":""},{"dropping-particle":"","family":"Saucier","given":"Donald A.","non-dropping-particle":"","parse-names":false,"suffix":""},{"dropping-particle":"","family":"Hafner","given":"Eric","non-dropping-particle":"","parse-names":false,"suffix":""}],"container-title":"Journal of Social and Clinical Psychology","id":"ITEM-1","issue":"6","issued":{"date-parts":[["2010"]]},"page":"624-645","title":"Meta-analysis of the relationships between social support and well-being in children and adolescents","type":"article-journal","volume":"29"},"uris":["http://www.mendeley.com/documents/?uuid=45289420-1749-43d0-9eec-1c9577fc2cde"]},{"id":"ITEM-2","itemData":{"author":[{"dropping-particle":"","family":"Wills, T. A., &amp; Shinar","given":"O","non-dropping-particle":"","parse-names":false,"suffix":""}],"id":"ITEM-2","issued":{"date-parts":[["2000"]]},"number-of-pages":"86-135","publisher":"Oxford University Press","title":"Measuring perceived and received social support. In S. Cohen, L. G. Underwood, &amp; B. H. Gottlieb (Eds.)","type":"book"},"uris":["http://www.mendeley.com/documents/?uuid=4c852d74-1ba0-4fdf-91f6-bfe070ca598b"]},{"id":"ITEM-3","itemData":{"DOI":"10.30872/psikoborneo","author":[{"dropping-particle":"","family":"Fitriani","given":"Aditya Yoga S dan Permatasari Rini","non-dropping-particle":"","parse-names":false,"suffix":""}],"container-title":"Psikoburneo Jurnal Ilmiah Psikologi","id":"ITEM-3","issue":"4","issued":{"date-parts":[["2021"]]},"page":"850-862","title":"Dukungan Sosial dan Kepercayaan Diri Terhadap Keterbukaan Diri Pada Remaja Di Panti Asuhan Tenggarong","type":"article-journal","volume":"9"},"uris":["http://www.mendeley.com/documents/?uuid=00c60c8a-8153-4dfa-b496-537425168ee0"]}],"mendeley":{"formattedCitation":"(Chu, Saucier, and Hafner 2010; Fitriani 2021; Wills, T. A., &amp; Shinar 2000)","plainTextFormattedCitation":"(Chu, Saucier, and Hafner 2010; Fitriani 2021; Wills, T. A., &amp; Shinar 2000)","previouslyFormattedCitation":"(Chu, Saucier, and Hafner 2010; Fitriani 2021; Wills, T. A., &amp; Shinar 2000)"},"properties":{"noteIndex":0},"schema":"https://github.com/citation-style-language/schema/raw/master/csl-citation.json"}</w:instrText>
      </w:r>
      <w:r w:rsidRPr="005C2248">
        <w:rPr>
          <w:rFonts w:ascii="Candara" w:hAnsi="Candara"/>
          <w:i/>
          <w:iCs/>
          <w:sz w:val="20"/>
          <w:szCs w:val="20"/>
        </w:rPr>
        <w:fldChar w:fldCharType="separate"/>
      </w:r>
      <w:r w:rsidR="00AD0D51" w:rsidRPr="00AD0D51">
        <w:rPr>
          <w:rFonts w:ascii="Candara" w:hAnsi="Candara"/>
          <w:iCs/>
          <w:noProof/>
          <w:sz w:val="20"/>
          <w:szCs w:val="20"/>
        </w:rPr>
        <w:t>(Chu, Saucier, and Hafner 2010; Fitriani 2021; Wills, T. A., &amp; Shinar 2000)</w:t>
      </w:r>
      <w:r w:rsidRPr="005C2248">
        <w:rPr>
          <w:rFonts w:ascii="Candara" w:hAnsi="Candara"/>
          <w:i/>
          <w:iCs/>
          <w:sz w:val="20"/>
          <w:szCs w:val="20"/>
        </w:rPr>
        <w:fldChar w:fldCharType="end"/>
      </w:r>
      <w:r w:rsidRPr="005C2248">
        <w:rPr>
          <w:rFonts w:ascii="Candara" w:hAnsi="Candara"/>
          <w:sz w:val="20"/>
          <w:szCs w:val="20"/>
        </w:rPr>
        <w:t xml:space="preserve">. Hal ini terjadi karena </w:t>
      </w:r>
      <w:r w:rsidRPr="005C2248">
        <w:rPr>
          <w:rFonts w:ascii="Candara" w:hAnsi="Candara"/>
          <w:i/>
          <w:iCs/>
          <w:sz w:val="20"/>
          <w:szCs w:val="20"/>
        </w:rPr>
        <w:t xml:space="preserve">social well-being </w:t>
      </w:r>
      <w:r w:rsidRPr="005C2248">
        <w:rPr>
          <w:rFonts w:ascii="Candara" w:hAnsi="Candara"/>
          <w:sz w:val="20"/>
          <w:szCs w:val="20"/>
        </w:rPr>
        <w:t xml:space="preserve">dipengaruhi oleh banyak faktor, seperti </w:t>
      </w:r>
      <w:r w:rsidRPr="005C2248">
        <w:rPr>
          <w:rFonts w:ascii="Candara" w:hAnsi="Candara"/>
          <w:i/>
          <w:iCs/>
          <w:sz w:val="20"/>
          <w:szCs w:val="20"/>
        </w:rPr>
        <w:t xml:space="preserve">sense of community </w:t>
      </w:r>
      <w:r w:rsidRPr="005C2248">
        <w:rPr>
          <w:rFonts w:ascii="Candara" w:hAnsi="Candara"/>
          <w:i/>
          <w:iCs/>
          <w:sz w:val="20"/>
          <w:szCs w:val="20"/>
        </w:rPr>
        <w:fldChar w:fldCharType="begin" w:fldLock="1"/>
      </w:r>
      <w:r w:rsidR="00A265CC">
        <w:rPr>
          <w:rFonts w:ascii="Candara" w:hAnsi="Candara"/>
          <w:i/>
          <w:iCs/>
          <w:sz w:val="20"/>
          <w:szCs w:val="20"/>
        </w:rPr>
        <w:instrText>ADDIN CSL_CITATION {"citationItems":[{"id":"ITEM-1","itemData":{"author":[{"dropping-particle":"","family":"Islami","given":"Mega Wahyu","non-dropping-particle":"","parse-names":false,"suffix":""},{"dropping-particle":"","family":"Maryam","given":"Effy Wardati","non-dropping-particle":"","parse-names":false,"suffix":""}],"id":"ITEM-1","issued":{"date-parts":[["2021"]]},"page":"1-9","title":"Social Well-Being in Teeneger Social Media Users [ Social Well-Being pada Remaja Pengguna Media Sosial ]","type":"article-journal"},"uris":["http://www.mendeley.com/documents/?uuid=a3166d26-5851-4c8b-bbc6-d5cd50bae0ce"]}],"mendeley":{"formattedCitation":"(Islami and Maryam 2021)","plainTextFormattedCitation":"(Islami and Maryam 2021)","previouslyFormattedCitation":"(Islami and Maryam 2021)"},"properties":{"noteIndex":0},"schema":"https://github.com/citation-style-language/schema/raw/master/csl-citation.json"}</w:instrText>
      </w:r>
      <w:r w:rsidRPr="005C2248">
        <w:rPr>
          <w:rFonts w:ascii="Candara" w:hAnsi="Candara"/>
          <w:i/>
          <w:iCs/>
          <w:sz w:val="20"/>
          <w:szCs w:val="20"/>
        </w:rPr>
        <w:fldChar w:fldCharType="separate"/>
      </w:r>
      <w:r w:rsidR="00AD0D51" w:rsidRPr="00AD0D51">
        <w:rPr>
          <w:rFonts w:ascii="Candara" w:hAnsi="Candara"/>
          <w:iCs/>
          <w:noProof/>
          <w:sz w:val="20"/>
          <w:szCs w:val="20"/>
        </w:rPr>
        <w:t>(Islami and Maryam 2021)</w:t>
      </w:r>
      <w:r w:rsidRPr="005C2248">
        <w:rPr>
          <w:rFonts w:ascii="Candara" w:hAnsi="Candara"/>
          <w:i/>
          <w:iCs/>
          <w:sz w:val="20"/>
          <w:szCs w:val="20"/>
        </w:rPr>
        <w:fldChar w:fldCharType="end"/>
      </w:r>
      <w:r w:rsidRPr="005C2248">
        <w:rPr>
          <w:rFonts w:ascii="Candara" w:hAnsi="Candara"/>
          <w:sz w:val="20"/>
          <w:szCs w:val="20"/>
        </w:rPr>
        <w:t xml:space="preserve">, </w:t>
      </w:r>
      <w:r w:rsidRPr="005C2248">
        <w:rPr>
          <w:rFonts w:ascii="Candara" w:hAnsi="Candara"/>
          <w:i/>
          <w:iCs/>
          <w:sz w:val="20"/>
          <w:szCs w:val="20"/>
        </w:rPr>
        <w:t>big five personality</w:t>
      </w:r>
      <w:r w:rsidRPr="005C2248">
        <w:rPr>
          <w:rFonts w:ascii="Candara" w:hAnsi="Candara"/>
          <w:sz w:val="20"/>
          <w:szCs w:val="20"/>
        </w:rPr>
        <w:t xml:space="preserve"> </w:t>
      </w:r>
      <w:r w:rsidRPr="005C2248">
        <w:rPr>
          <w:rFonts w:ascii="Candara" w:hAnsi="Candara"/>
          <w:sz w:val="20"/>
          <w:szCs w:val="20"/>
        </w:rPr>
        <w:fldChar w:fldCharType="begin" w:fldLock="1"/>
      </w:r>
      <w:r w:rsidR="00A265CC">
        <w:rPr>
          <w:rFonts w:ascii="Candara" w:hAnsi="Candara"/>
          <w:sz w:val="20"/>
          <w:szCs w:val="20"/>
        </w:rPr>
        <w:instrText>ADDIN CSL_CITATION {"citationItems":[{"id":"ITEM-1","itemData":{"DOI":"10.3389/fpsyg.2020.613659","ISSN":"16641078","abstract":"Previous studies have noted that personality traits are important predictors of well-being, but how big five personality influences social well-being is still unknown. This study aims to examine the link between big five personality and five dimensions of social well-being in the Chinese cultural context and whether social support can play the mediating effect in the process. This study included 1,658 participants from different communities in China, and regression analyses were conducted. Results revealed that five personality traits were significantly related to overall social well-being; extraversion was significantly related to social integration; agreeableness was positively related to all five dimensions of social well-being; conscientiousness was positively related to social actualization, social coherence, and social contribution; neuroticism was negatively related to social integration, social acceptance, social actualization, and social coherence; openness was positively related to social integration, social acceptance, social coherence, and social contribution. Social support plays mediating roles in the relationships between extraversion/agreeableness/conscientiousness/neuroticism/openness and social well-being, respectively.","author":[{"dropping-particle":"","family":"Yu","given":"Yanghang","non-dropping-particle":"","parse-names":false,"suffix":""},{"dropping-particle":"","family":"Zhao","given":"Yuanyuan","non-dropping-particle":"","parse-names":false,"suffix":""},{"dropping-particle":"","family":"Li","given":"Dongyan","non-dropping-particle":"","parse-names":false,"suffix":""},{"dropping-particle":"","family":"Zhang","given":"Jingqiu","non-dropping-particle":"","parse-names":false,"suffix":""},{"dropping-particle":"","family":"Li","given":"Jiewei","non-dropping-particle":"","parse-names":false,"suffix":""}],"container-title":"Frontiers in Psychology","id":"ITEM-1","issue":"March","issued":{"date-parts":[["2021"]]},"title":"The Relationship Between Big Five Personality and Social Well-Being of Chinese Residents: The Mediating Effect of Social Support","type":"article-journal","volume":"11"},"uris":["http://www.mendeley.com/documents/?uuid=01030e3a-227e-401d-9947-ba3a099d9e9f"]}],"mendeley":{"formattedCitation":"(Yu et al. 2021)","plainTextFormattedCitation":"(Yu et al. 2021)","previouslyFormattedCitation":"(Yu et al. 2021)"},"properties":{"noteIndex":0},"schema":"https://github.com/citation-style-language/schema/raw/master/csl-citation.json"}</w:instrText>
      </w:r>
      <w:r w:rsidRPr="005C2248">
        <w:rPr>
          <w:rFonts w:ascii="Candara" w:hAnsi="Candara"/>
          <w:sz w:val="20"/>
          <w:szCs w:val="20"/>
        </w:rPr>
        <w:fldChar w:fldCharType="separate"/>
      </w:r>
      <w:r w:rsidR="00AD0D51" w:rsidRPr="00AD0D51">
        <w:rPr>
          <w:rFonts w:ascii="Candara" w:hAnsi="Candara"/>
          <w:noProof/>
          <w:sz w:val="20"/>
          <w:szCs w:val="20"/>
        </w:rPr>
        <w:t>(Yu et al. 2021)</w:t>
      </w:r>
      <w:r w:rsidRPr="005C2248">
        <w:rPr>
          <w:rFonts w:ascii="Candara" w:hAnsi="Candara"/>
          <w:sz w:val="20"/>
          <w:szCs w:val="20"/>
        </w:rPr>
        <w:fldChar w:fldCharType="end"/>
      </w:r>
      <w:r w:rsidRPr="005C2248">
        <w:rPr>
          <w:rFonts w:ascii="Candara" w:hAnsi="Candara"/>
          <w:sz w:val="20"/>
          <w:szCs w:val="20"/>
        </w:rPr>
        <w:t xml:space="preserve">, dan penyesuaian diri </w:t>
      </w:r>
      <w:r w:rsidRPr="005C2248">
        <w:rPr>
          <w:rFonts w:ascii="Candara" w:hAnsi="Candara"/>
          <w:sz w:val="20"/>
          <w:szCs w:val="20"/>
        </w:rPr>
        <w:fldChar w:fldCharType="begin" w:fldLock="1"/>
      </w:r>
      <w:r w:rsidR="00A265CC">
        <w:rPr>
          <w:rFonts w:ascii="Candara" w:hAnsi="Candara"/>
          <w:sz w:val="20"/>
          <w:szCs w:val="20"/>
        </w:rPr>
        <w:instrText>ADDIN CSL_CITATION {"citationItems":[{"id":"ITEM-1","itemData":{"DOI":"10.1089/jayao.2018.0043","ISSN":"2156535X","PMID":"30251903","abstract":"Purpose: Adolescents and young adults (AYAs) diagnosed with cancer between ages 15-39 years are a unique and vulnerable population, encountering many typical developmental challenges while also dealing with the demands of illness and its aftermath. Overwhelming evidence demonstrates the importance of social well-being in survivorship quality of life. For AYAs, social connections may be of heightened importance as they assert independence from their parents and create their own personal lives. Few studies have characterized AYA survivors' social well-being and its determinants over time, particularly how psychological adjustment might promote improved social well-being. Methods: We assessed 83 AYA survivors at two time points across 1 year to characterize their social well-being, identify common social connection concerns, describe how social well-being changes over time, examine how psychological adjustment relates to social well-being at a given time point, and determine whether psychological adjustment predicts changes in social well-being over time. Results: Our sample rated their quality of life as lower than population mean scores, and despite relatively high levels of social support and satisfaction, more than half of participants also reported concerns in specific social well-being domains. On average, social well-being increased across the year. Psychological adjustment was strongly positively related to various aspects of social well-being, and it predicted improved social well-being over time. Conclusion: These results suggest that improving psychological adjustment may be important for strengthening social support networks and improving AYAs' lives in survivorship.","author":[{"dropping-particle":"","family":"Sinnott","given":"Sinead M.","non-dropping-particle":"","parse-names":false,"suffix":""},{"dropping-particle":"","family":"Park","given":"Crystal L.","non-dropping-particle":"","parse-names":false,"suffix":""}],"container-title":"Journal of Adolescent and Young Adult Oncology","id":"ITEM-1","issue":"1","issued":{"date-parts":[["2019"]]},"page":"32-39","title":"Social well-being in adolescent and young adult cancer survivors","type":"article-journal","volume":"8"},"uris":["http://www.mendeley.com/documents/?uuid=86e1eb0f-90c0-432f-ad72-7adb56a54ce4"]}],"mendeley":{"formattedCitation":"(Sinnott and Park 2019)","plainTextFormattedCitation":"(Sinnott and Park 2019)","previouslyFormattedCitation":"(Sinnott and Park 2019)"},"properties":{"noteIndex":0},"schema":"https://github.com/citation-style-language/schema/raw/master/csl-citation.json"}</w:instrText>
      </w:r>
      <w:r w:rsidRPr="005C2248">
        <w:rPr>
          <w:rFonts w:ascii="Candara" w:hAnsi="Candara"/>
          <w:sz w:val="20"/>
          <w:szCs w:val="20"/>
        </w:rPr>
        <w:fldChar w:fldCharType="separate"/>
      </w:r>
      <w:r w:rsidR="00AD0D51" w:rsidRPr="00AD0D51">
        <w:rPr>
          <w:rFonts w:ascii="Candara" w:hAnsi="Candara"/>
          <w:noProof/>
          <w:sz w:val="20"/>
          <w:szCs w:val="20"/>
        </w:rPr>
        <w:t>(Sinnott and Park 2019)</w:t>
      </w:r>
      <w:r w:rsidRPr="005C2248">
        <w:rPr>
          <w:rFonts w:ascii="Candara" w:hAnsi="Candara"/>
          <w:sz w:val="20"/>
          <w:szCs w:val="20"/>
        </w:rPr>
        <w:fldChar w:fldCharType="end"/>
      </w:r>
      <w:r w:rsidRPr="005C2248">
        <w:rPr>
          <w:rFonts w:ascii="Candara" w:hAnsi="Candara"/>
          <w:sz w:val="20"/>
          <w:szCs w:val="20"/>
        </w:rPr>
        <w:t xml:space="preserve">. </w:t>
      </w:r>
    </w:p>
    <w:p w14:paraId="0B183A0A" w14:textId="07C89640" w:rsidR="005C2248" w:rsidRPr="005C2248" w:rsidRDefault="005C2248" w:rsidP="005C2248">
      <w:pPr>
        <w:pBdr>
          <w:top w:val="nil"/>
          <w:left w:val="nil"/>
          <w:bottom w:val="nil"/>
          <w:right w:val="nil"/>
          <w:between w:val="nil"/>
        </w:pBdr>
        <w:spacing w:before="40" w:line="240" w:lineRule="auto"/>
        <w:ind w:firstLine="719"/>
        <w:jc w:val="both"/>
        <w:rPr>
          <w:rFonts w:ascii="Candara" w:hAnsi="Candara"/>
          <w:sz w:val="20"/>
          <w:szCs w:val="20"/>
        </w:rPr>
      </w:pPr>
      <w:r w:rsidRPr="005C2248">
        <w:rPr>
          <w:rFonts w:ascii="Candara" w:hAnsi="Candara"/>
          <w:sz w:val="20"/>
          <w:szCs w:val="20"/>
        </w:rPr>
        <w:t xml:space="preserve">Meskipun remaja dengan </w:t>
      </w:r>
      <w:r w:rsidRPr="005C2248">
        <w:rPr>
          <w:rFonts w:ascii="Candara" w:hAnsi="Candara"/>
          <w:i/>
          <w:iCs/>
          <w:sz w:val="20"/>
          <w:szCs w:val="20"/>
        </w:rPr>
        <w:t xml:space="preserve">savoring </w:t>
      </w:r>
      <w:r w:rsidRPr="005C2248">
        <w:rPr>
          <w:rFonts w:ascii="Candara" w:hAnsi="Candara"/>
          <w:sz w:val="20"/>
          <w:szCs w:val="20"/>
        </w:rPr>
        <w:t xml:space="preserve">tinggi mampu mempertahankan emosi positif dalam berbagai situasi </w:t>
      </w:r>
      <w:r w:rsidRPr="005C2248">
        <w:rPr>
          <w:rFonts w:ascii="Candara" w:hAnsi="Candara"/>
          <w:sz w:val="20"/>
          <w:szCs w:val="20"/>
        </w:rPr>
        <w:fldChar w:fldCharType="begin" w:fldLock="1"/>
      </w:r>
      <w:r w:rsidR="007B51EC">
        <w:rPr>
          <w:rFonts w:ascii="Candara" w:hAnsi="Candara"/>
          <w:sz w:val="20"/>
          <w:szCs w:val="20"/>
        </w:rPr>
        <w:instrText>ADDIN CSL_CITATION {"citationItems":[{"id":"ITEM-1","itemData":{"DOI":"10.56011/mind-mri-122-20235","abstract":"Across the globe the nations are trying to explore and identify the strategies which\r would help in enhancing the positive affect leading to ultimate happiness in each and\r every stratum of the society specifically among adolescents. Positive Psychological\r Interventions (PPIs) such as mindfulness, savoring, gratitude, kindness, empathy,\r meaning, flow exercises etc. are being applied to generate positive feelings and to\r attain the goal of sustainable happiness and well-being. Savoring is believed to be one\r such strategy in positive psychology which has shown promising effects in enhancing\r happiness, positive affect and reducing negative affect. The present study comprising\r of 300 (N=300) adolescents from the state of Haryana (India) made an attempt to\r explore relationship between savoring, happiness, positive affect and negative affect.\r Savoring Beliefs Inventory by Bryant (2003), Oxford Happiness Questionnaire by Hills\r &amp; Argyle (2002) and Positive and Negative Affect Schedule by Watson et al. (1988)\r were applied to measure the variables. Savoring emerged as a significant correlate\r and predictor of happiness and positive affect among adolescents","author":[{"dropping-particle":"","family":"Rani","given":"Sarita","non-dropping-particle":"","parse-names":false,"suffix":""},{"dropping-particle":"","family":"Gera","given":"Taruna","non-dropping-particle":"","parse-names":false,"suffix":""}],"container-title":"Mind and Society","id":"ITEM-1","issue":"02","issued":{"date-parts":[["2023"]]},"page":"44-49","title":"Savoring as a Predictor of Happiness and Positive Affect among Adolescents","type":"article-journal","volume":"12"},"uris":["http://www.mendeley.com/documents/?uuid=30810aa3-b32e-427e-bd05-e87e77c2be47"]},{"id":"ITEM-2","itemData":{"author":[{"dropping-particle":"","family":"Ramadani","given":"Nur Fitri","non-dropping-particle":"","parse-names":false,"suffix":""},{"dropping-particle":"","family":"Murdiana","given":"Sitti","non-dropping-particle":"","parse-names":false,"suffix":""}],"id":"ITEM-2","issue":"3","issued":{"date-parts":[["2023"]]},"page":"401-406","title":"Self-Compassion Training Can Reduce Self Injury in Adolescents , Is It Effective ? Pelatihan Self-Compassion dapat Menurunkan Self Injury pada Remaja , Apakah Efektif ?","type":"article-journal","volume":"11"},"uris":["http://www.mendeley.com/documents/?uuid=b4792476-d398-4761-be52-5b35a45f7402"]}],"mendeley":{"formattedCitation":"(Ramadani and Murdiana 2023; Rani and Gera 2023)","plainTextFormattedCitation":"(Ramadani and Murdiana 2023; Rani and Gera 2023)","previouslyFormattedCitation":"(Rani and Gera 2023)"},"properties":{"noteIndex":0},"schema":"https://github.com/citation-style-language/schema/raw/master/csl-citation.json"}</w:instrText>
      </w:r>
      <w:r w:rsidRPr="005C2248">
        <w:rPr>
          <w:rFonts w:ascii="Candara" w:hAnsi="Candara"/>
          <w:sz w:val="20"/>
          <w:szCs w:val="20"/>
        </w:rPr>
        <w:fldChar w:fldCharType="separate"/>
      </w:r>
      <w:r w:rsidR="007B51EC" w:rsidRPr="007B51EC">
        <w:rPr>
          <w:rFonts w:ascii="Candara" w:hAnsi="Candara"/>
          <w:noProof/>
          <w:sz w:val="20"/>
          <w:szCs w:val="20"/>
        </w:rPr>
        <w:t>(Ramadani and Murdiana 2023; Rani and Gera 2023)</w:t>
      </w:r>
      <w:r w:rsidRPr="005C2248">
        <w:rPr>
          <w:rFonts w:ascii="Candara" w:hAnsi="Candara"/>
          <w:sz w:val="20"/>
          <w:szCs w:val="20"/>
        </w:rPr>
        <w:fldChar w:fldCharType="end"/>
      </w:r>
      <w:r w:rsidRPr="005C2248">
        <w:rPr>
          <w:rFonts w:ascii="Candara" w:hAnsi="Candara"/>
          <w:sz w:val="20"/>
          <w:szCs w:val="20"/>
        </w:rPr>
        <w:t xml:space="preserve">, namun </w:t>
      </w:r>
      <w:r w:rsidRPr="005C2248">
        <w:rPr>
          <w:rFonts w:ascii="Candara" w:hAnsi="Candara"/>
          <w:i/>
          <w:iCs/>
          <w:sz w:val="20"/>
          <w:szCs w:val="20"/>
        </w:rPr>
        <w:t xml:space="preserve">savoring </w:t>
      </w:r>
      <w:r w:rsidRPr="005C2248">
        <w:rPr>
          <w:rFonts w:ascii="Candara" w:hAnsi="Candara"/>
          <w:sz w:val="20"/>
          <w:szCs w:val="20"/>
        </w:rPr>
        <w:t xml:space="preserve">lebih berkaitan dengan </w:t>
      </w:r>
      <w:r w:rsidRPr="005C2248">
        <w:rPr>
          <w:rFonts w:ascii="Candara" w:hAnsi="Candara"/>
          <w:i/>
          <w:iCs/>
          <w:sz w:val="20"/>
          <w:szCs w:val="20"/>
        </w:rPr>
        <w:t xml:space="preserve">subjective well-being </w:t>
      </w:r>
      <w:r w:rsidRPr="005C2248">
        <w:rPr>
          <w:rFonts w:ascii="Candara" w:hAnsi="Candara"/>
          <w:sz w:val="20"/>
          <w:szCs w:val="20"/>
        </w:rPr>
        <w:t xml:space="preserve">daripada dimensi </w:t>
      </w:r>
      <w:r w:rsidRPr="005C2248">
        <w:rPr>
          <w:rFonts w:ascii="Candara" w:hAnsi="Candara"/>
          <w:i/>
          <w:iCs/>
          <w:sz w:val="20"/>
          <w:szCs w:val="20"/>
        </w:rPr>
        <w:t xml:space="preserve">social well-being </w:t>
      </w:r>
      <w:r w:rsidRPr="005C2248">
        <w:rPr>
          <w:rFonts w:ascii="Candara" w:hAnsi="Candara"/>
          <w:sz w:val="20"/>
          <w:szCs w:val="20"/>
        </w:rPr>
        <w:t xml:space="preserve">yaitu </w:t>
      </w:r>
      <w:r w:rsidRPr="005C2248">
        <w:rPr>
          <w:rFonts w:ascii="Candara" w:hAnsi="Candara"/>
          <w:i/>
          <w:iCs/>
          <w:sz w:val="20"/>
          <w:szCs w:val="20"/>
        </w:rPr>
        <w:t xml:space="preserve">social coherence </w:t>
      </w:r>
      <w:r w:rsidRPr="005C2248">
        <w:rPr>
          <w:rFonts w:ascii="Candara" w:hAnsi="Candara"/>
          <w:sz w:val="20"/>
          <w:szCs w:val="20"/>
        </w:rPr>
        <w:t xml:space="preserve">dan </w:t>
      </w:r>
      <w:r w:rsidRPr="005C2248">
        <w:rPr>
          <w:rFonts w:ascii="Candara" w:hAnsi="Candara"/>
          <w:i/>
          <w:iCs/>
          <w:sz w:val="20"/>
          <w:szCs w:val="20"/>
        </w:rPr>
        <w:t xml:space="preserve">social integration </w:t>
      </w:r>
      <w:r w:rsidRPr="005C2248">
        <w:rPr>
          <w:rFonts w:ascii="Candara" w:hAnsi="Candara"/>
          <w:i/>
          <w:iCs/>
          <w:sz w:val="20"/>
          <w:szCs w:val="20"/>
        </w:rPr>
        <w:fldChar w:fldCharType="begin" w:fldLock="1"/>
      </w:r>
      <w:r w:rsidR="00A265CC">
        <w:rPr>
          <w:rFonts w:ascii="Candara" w:hAnsi="Candara"/>
          <w:i/>
          <w:iCs/>
          <w:sz w:val="20"/>
          <w:szCs w:val="20"/>
        </w:rPr>
        <w:instrText>ADDIN CSL_CITATION {"citationItems":[{"id":"ITEM-1","itemData":{"DOI":"10.1111/j.1467-9280.2008.02231.x","ISSN":"09567976","PMID":"19121130","abstract":"Both psychological research and conventional wisdom suggest that it can be difficult to attend to and derive enjoyment from the pleasant things in life. The present study examined whether focusing on the imminent ending of a positive life experience can lead to increased enjoyment. A temporal distance manipulation was used to make college graduation seem more or less close at hand. Twice a week over the course of 2 weeks, college students were told to write about their college life, with graduation being framed as either very close or very far off. As predicted, thinking about graduation as being close led to a significant increase in college-related behaviors and subjective well-being over the course of the study. The present research provides support for the counterintuitive hypothesis that thinking about an experience's ending can enhance one's present enjoyment of it. © 2008 Association for Psychological Science.","author":[{"dropping-particle":"","family":"Kurtz","given":"Jaime L.","non-dropping-particle":"","parse-names":false,"suffix":""}],"container-title":"Psychological Science","id":"ITEM-1","issue":"12","issued":{"date-parts":[["2008"]]},"page":"1238-1241","title":"Looking to the future to appreciate the present: The benefits of perceived temporal scarcity","type":"article-journal","volume":"19"},"uris":["http://www.mendeley.com/documents/?uuid=c0029080-1d04-4e7a-96d9-1c809c76b369"]},{"id":"ITEM-2","itemData":{"DOI":"10.1177/0091415016669146","author":[{"dropping-particle":"","family":"Smith","given":"Jennifer L","non-dropping-particle":"","parse-names":false,"suffix":""},{"dropping-particle":"","family":"Bryant","given":"Fred B","non-dropping-particle":"","parse-names":false,"suffix":""}],"id":"ITEM-2","issued":{"date-parts":[["2016"]]},"title":"The Benefits of Savoring Life : Savoring as a Moderator of the Relationship Between Health and Life Satisfaction in Older Adults","type":"article-journal"},"uris":["http://www.mendeley.com/documents/?uuid=4181bbfb-297b-47e0-a28a-bd5186c19c90"]}],"mendeley":{"formattedCitation":"(Kurtz 2008; Smith and Bryant 2016)","plainTextFormattedCitation":"(Kurtz 2008; Smith and Bryant 2016)","previouslyFormattedCitation":"(Kurtz 2008; Smith and Bryant 2016)"},"properties":{"noteIndex":0},"schema":"https://github.com/citation-style-language/schema/raw/master/csl-citation.json"}</w:instrText>
      </w:r>
      <w:r w:rsidRPr="005C2248">
        <w:rPr>
          <w:rFonts w:ascii="Candara" w:hAnsi="Candara"/>
          <w:i/>
          <w:iCs/>
          <w:sz w:val="20"/>
          <w:szCs w:val="20"/>
        </w:rPr>
        <w:fldChar w:fldCharType="separate"/>
      </w:r>
      <w:r w:rsidR="00AD0D51" w:rsidRPr="00AD0D51">
        <w:rPr>
          <w:rFonts w:ascii="Candara" w:hAnsi="Candara"/>
          <w:iCs/>
          <w:noProof/>
          <w:sz w:val="20"/>
          <w:szCs w:val="20"/>
        </w:rPr>
        <w:t>(Kurtz 2008; Smith and Bryant 2016)</w:t>
      </w:r>
      <w:r w:rsidRPr="005C2248">
        <w:rPr>
          <w:rFonts w:ascii="Candara" w:hAnsi="Candara"/>
          <w:i/>
          <w:iCs/>
          <w:sz w:val="20"/>
          <w:szCs w:val="20"/>
        </w:rPr>
        <w:fldChar w:fldCharType="end"/>
      </w:r>
      <w:r w:rsidRPr="005C2248">
        <w:rPr>
          <w:rFonts w:ascii="Candara" w:hAnsi="Candara"/>
          <w:sz w:val="20"/>
          <w:szCs w:val="20"/>
        </w:rPr>
        <w:t xml:space="preserve">. Remaja masih berada dalam tahap perkembangan regulasi </w:t>
      </w:r>
      <w:r w:rsidRPr="005C2248">
        <w:rPr>
          <w:rFonts w:ascii="Candara" w:hAnsi="Candara"/>
          <w:sz w:val="20"/>
          <w:szCs w:val="20"/>
        </w:rPr>
        <w:lastRenderedPageBreak/>
        <w:t xml:space="preserve">emosi dan kemampuan reklektif, sehingga belum dapat melakukan </w:t>
      </w:r>
      <w:r w:rsidRPr="005C2248">
        <w:rPr>
          <w:rFonts w:ascii="Candara" w:hAnsi="Candara"/>
          <w:i/>
          <w:iCs/>
          <w:sz w:val="20"/>
          <w:szCs w:val="20"/>
        </w:rPr>
        <w:t xml:space="preserve">savoring </w:t>
      </w:r>
      <w:r w:rsidRPr="005C2248">
        <w:rPr>
          <w:rFonts w:ascii="Candara" w:hAnsi="Candara"/>
          <w:sz w:val="20"/>
          <w:szCs w:val="20"/>
        </w:rPr>
        <w:t xml:space="preserve">dengan optimal </w:t>
      </w:r>
      <w:r w:rsidRPr="005C2248">
        <w:rPr>
          <w:rFonts w:ascii="Candara" w:hAnsi="Candara"/>
          <w:sz w:val="20"/>
          <w:szCs w:val="20"/>
        </w:rPr>
        <w:fldChar w:fldCharType="begin" w:fldLock="1"/>
      </w:r>
      <w:r w:rsidR="00A265CC">
        <w:rPr>
          <w:rFonts w:ascii="Candara" w:hAnsi="Candara"/>
          <w:sz w:val="20"/>
          <w:szCs w:val="20"/>
        </w:rPr>
        <w:instrText>ADDIN CSL_CITATION {"citationItems":[{"id":"ITEM-1","itemData":{"ISBN":"0805851194","ISSN":"0026-9050","PMID":"14289651","abstract":"Reviews the book, Savoring: A new model of positive experience by F. B. Bryant and J. Veroff (see record 2007-11872-000). The authors provide a solid foundation for studying this important process and will inspire much research in the fields of social, personality, clinical, and health psychology. Early in the book, the authors propose a model to aid in understanding the broad concept of savoring and, importantly, they offer several validated measures, with instructions for scoring. Through a combination of empirical research reports and vivid anecdotes, the authors establish savoring as both a means of enhancing everyday life and as an important field of inquiry that is only beginning to be understood. This book is a must-read for those in the field of positive psychology. As is often the case with a new field of research, the authors raise as many questions as they answer. The questions raised are the best kind: provocative, empirically testable, timely, and rich with practical applications. (PsycINFO Database Record (c) 2008 APA, all rights reserved).","author":[{"dropping-particle":"","family":"Bryant &amp; Veroff","given":"Joseph","non-dropping-particle":"","parse-names":false,"suffix":""}],"container-title":"Voenno-meditsinskii zhurnal","id":"ITEM-1","issued":{"date-parts":[["2007"]]},"number-of-pages":"79-81","title":"Savoring A New Model Of Positive Experience","type":"book","volume":"22"},"uris":["http://www.mendeley.com/documents/?uuid=4807538e-1a0a-4acf-a92c-fa628b09168b"]},{"id":"ITEM-2","itemData":{"DOI":"10.20885/intervensipsikologi.vol14.iss2.art2","ISSN":"2085-4447","abstract":"High well-being is a protective factor against mental illness and psychopathology. To improve welfare, positive psychological interventions can be carried out, one of which is by enjoying the intervention. Purpose of this review is to evaluate the savoring intervention experiments and determine the effectiveness of the savoring interventions which can be used as evidence based in the practice of increasing well-being. This research was conducted by identifying appropriate and relevant literature. Identified randomized controlled trial from inception starts from May 2022 through proquest, google scholar, semantic scholar, and scopus. This meta-analysis research shows the results of effectiveness of savoring intervention on well-being which are in the medium category. The savoring intervention must also be strengthened with other additional interventions so that the result of effectiveness in influencing a person's well-being becomes greater and more significant. Differences in participant characteristics and the amount of literature included in this study are the weaknesses of this study.","author":[{"dropping-particle":"","family":"Tri Kusuma","given":"Cita","non-dropping-particle":"","parse-names":false,"suffix":""},{"dropping-particle":"","family":"Yudiarso","given":"Ananta","non-dropping-particle":"","parse-names":false,"suffix":""}],"container-title":"JIP (Jurnal Intervensi Psikologi)","id":"ITEM-2","issue":"2","issued":{"date-parts":[["2022"]]},"page":"95-106","title":"Efektivitas Savoring Intervention Terhadap Well-Being: Studi Meta Analisis","type":"article-journal","volume":"14"},"uris":["http://www.mendeley.com/documents/?uuid=052824d8-74c6-4291-af13-76d35d9b4703"]},{"id":"ITEM-3","itemData":{"abstract":"For centuries, folk theory has promoted the idea that positive emotions are good for your health. Accumulating empirical evidence is providing support for this anecdotal wisdom. We use the broaden-and-build theory of positive emotions (Fredrickson, 1998;2001) as a framework to demonstrate that positive emotions contribute to psychological and physical well-being via more effective coping. We argue that the health benefits advanced by positive emotions may be instantiated in certain traits that are characterized by the experience of positive emotion. Towards this end, we examine individual differences in psychological resilience (the ability to bounce back from negative events by using positive emotions to cope) and positive emotional granularity (the tendency to represent experiences of positive emotion with precision and specificity). Individual differences in these traits are examined in two studies, one using psychophysiological evidence, the second using evidence from experience sampling, to demonstrate that positive emotions play a crucial role in enhancing coping resources in the face of negative events. Implications for research on coping and health are discussed. Cheerfulness is the best promoter of health, and is as friendly to the mind as to the body.-Joseph Addison (English essayist, poet, and dramatist; 1672-1719) For centuries, folk wisdom has promoted the idea that positive emotions are good for your health: \"A good laugh makes you healthy\" (Swedish proverb); \"The joyfulness of man prolongeth his days\" (Bible, Ecclesiasticus. 30:22); \"Mirth and merriment … bars a thousand harms and lengthens life\" (Shakespeare). Oftentimes in science, empirical evidence emerges to refute anecdotal wisdom. In the case of positive emotions and health, however, accumulating evidence is providing empirical support for such folk theories. Research shows that positive Correspondence should be addressed to Michele M. Tugade at the","author":[{"dropping-particle":"","family":"Tugade","given":"Michele M","non-dropping-particle":"","parse-names":false,"suffix":""},{"dropping-particle":"","family":"Fredrickson","given":"Barbara L","non-dropping-particle":"","parse-names":false,"suffix":""},{"dropping-particle":"","family":"Feldman Barrett","given":"Lisa","non-dropping-particle":"","parse-names":false,"suffix":""}],"container-title":"J Pers","id":"ITEM-3","issue":"6","issued":{"date-parts":[["2004"]]},"page":"1161-1190","title":"Psychological Resilience and Positive Emotional Granularity: Examining the Benefits of Positive Emotions on Coping and Health NIH Public Access","type":"article-journal","volume":"72"},"uris":["http://www.mendeley.com/documents/?uuid=1cebe717-307d-4559-b4c1-226429ea2bb4"]}],"mendeley":{"formattedCitation":"(Bryant &amp; Veroff 2007; Tri Kusuma and Yudiarso 2022; Tugade, Fredrickson, and Feldman Barrett 2004)","plainTextFormattedCitation":"(Bryant &amp; Veroff 2007; Tri Kusuma and Yudiarso 2022; Tugade, Fredrickson, and Feldman Barrett 2004)","previouslyFormattedCitation":"(Bryant &amp; Veroff 2007; Tri Kusuma and Yudiarso 2022; Tugade, Fredrickson, and Feldman Barrett 2004)"},"properties":{"noteIndex":0},"schema":"https://github.com/citation-style-language/schema/raw/master/csl-citation.json"}</w:instrText>
      </w:r>
      <w:r w:rsidRPr="005C2248">
        <w:rPr>
          <w:rFonts w:ascii="Candara" w:hAnsi="Candara"/>
          <w:sz w:val="20"/>
          <w:szCs w:val="20"/>
        </w:rPr>
        <w:fldChar w:fldCharType="separate"/>
      </w:r>
      <w:r w:rsidR="00AD0D51" w:rsidRPr="00AD0D51">
        <w:rPr>
          <w:rFonts w:ascii="Candara" w:hAnsi="Candara"/>
          <w:noProof/>
          <w:sz w:val="20"/>
          <w:szCs w:val="20"/>
        </w:rPr>
        <w:t>(Bryant &amp; Veroff 2007; Tri Kusuma and Yudiarso 2022; Tugade, Fredrickson, and Feldman Barrett 2004)</w:t>
      </w:r>
      <w:r w:rsidRPr="005C2248">
        <w:rPr>
          <w:rFonts w:ascii="Candara" w:hAnsi="Candara"/>
          <w:sz w:val="20"/>
          <w:szCs w:val="20"/>
        </w:rPr>
        <w:fldChar w:fldCharType="end"/>
      </w:r>
      <w:r w:rsidRPr="005C2248">
        <w:rPr>
          <w:rFonts w:ascii="Candara" w:hAnsi="Candara"/>
          <w:sz w:val="20"/>
          <w:szCs w:val="20"/>
        </w:rPr>
        <w:t xml:space="preserve">. Selain itu, remaja masih merasa banyak waktu tersisa untuk memanfaatkan hubungan dengan orang baru atau eksplorasi dan masih berada pada tahap perkembangan kognitif dan emosional </w:t>
      </w:r>
      <w:r w:rsidRPr="005C2248">
        <w:rPr>
          <w:rFonts w:ascii="Candara" w:hAnsi="Candara"/>
          <w:sz w:val="20"/>
          <w:szCs w:val="20"/>
        </w:rPr>
        <w:fldChar w:fldCharType="begin" w:fldLock="1"/>
      </w:r>
      <w:r w:rsidR="00A265CC">
        <w:rPr>
          <w:rFonts w:ascii="Candara" w:hAnsi="Candara"/>
          <w:sz w:val="20"/>
          <w:szCs w:val="20"/>
        </w:rPr>
        <w:instrText>ADDIN CSL_CITATION {"citationItems":[{"id":"ITEM-1","itemData":{"DOI":"10.1111/j.0963-7214.2005.00348.x","ISSN":"09637214","abstract":"Divergent trajectories characterize the aging mind: Processing capacity declines., while judgment, knowledge, and emotion regulation are relatively spared. We maintain that these different developmental trajectories have implications for emotion-cognition interactions. Following an overview of our theoretical position, we review empirical studies indicating that (a) older adults evidence superior cognitive performance for emotional relative to non-emotional information, (b) age differences are most evident when the emotional content is positively as opposed to negatively valenced, and (c) differences can be accounted for by changes in motivation posited in socioemotional selectivity theory. Copyright © 2005 American Psychological Society.","author":[{"dropping-particle":"","family":"Carstensen","given":"Laura L.","non-dropping-particle":"","parse-names":false,"suffix":""},{"dropping-particle":"","family":"Mikels","given":"Joseph A.","non-dropping-particle":"","parse-names":false,"suffix":""}],"container-title":"Current Directions in Psychological Science","id":"ITEM-1","issue":"3","issued":{"date-parts":[["2005"]]},"page":"117-121","title":"At the intersection of emotion and cognitiom: Aging and the positivity effect","type":"article-journal","volume":"14"},"uris":["http://www.mendeley.com/documents/?uuid=abb563ff-2735-47d5-a289-380db48f8110"]},{"id":"ITEM-2","itemData":{"DOI":"10.1037/a0016952.Selective","ISBN":"6176321972","ISSN":"15378276","PMID":"1000000221","abstract":"A growing body of research suggests that the ability to regulate emotion remains stable or improves across the adult life span. Socioemotional selectivity theory maintains that this pattern of findings reflects the prioritization of emotional goals. Given that goal-directed behavior requires attentional control, the present study was designed to investigate age differences in selective attention to emotional lexical stimuli under conditions of emotional interference. Both neural and behavioral measures were obtained during an experiment in which participants completed a flanker task that required them to make categorical judgments about emotional and non-emotional stimuli. Older adults showed interference in both the behavioral and neural measures on control trials, but not on emotion trials. Although older adults typically show relatively high levels of interference and reduced cognitive control during non-emotional tasks, they appear to be able successfully to reduce interference during emotional tasks","author":[{"dropping-particle":"","family":"Carstensen, LL, Fung, HH, &amp; Charles","given":"ST","non-dropping-particle":"","parse-names":false,"suffix":""}],"container-title":"Psychol Aging","id":"ITEM-2","issue":"3","issued":{"date-parts":[["2009"]]},"page":"519-529","title":"Selective Attention to Emotion in The Aging Brain","type":"article-journal","volume":"24"},"uris":["http://www.mendeley.com/documents/?uuid=b8a26780-b290-4bca-8743-e9accf8aa0d1"]},{"id":"ITEM-3","itemData":{"DOI":"10.2190/AG.78.1.b","ISSN":"00914150","PMID":"24669507","abstract":"Prior research indicates there are age differences in subjective well-being during adulthood, but research on age differences in savoring (up-regulating positive emotion) is lacking. Using an online survey (N = 218, adults 18-77), this study investigated age differences in subjective well-being and savoring, and whether future time perspective (perceived amount of time left to live) mediated associations between age and savoring. Results indicated a nonlinear effect of age on subjective well-being. Although savoring was associated with subjective well-being, age was not directly associated with savoring. However, an indirect effect of future time perspective linking age and savoring indicated that younger adults reported more perceived time left in life and those perceiving more time left in life reported greater savoring. Overall, the results do not support savoring as a direct explanatory mechanism for age differences in subjective well-being, but future time perspective appears to play an important role in indirect associations between age and savoring. © 2014, Baywood Publishing Co., Inc..","author":[{"dropping-particle":"","family":"Ramsey","given":"Meagan","non-dropping-particle":"","parse-names":false,"suffix":""},{"dropping-particle":"","family":"Gentzler","given":"Amy","non-dropping-particle":"","parse-names":false,"suffix":""}],"container-title":"International Journal of Aging and Human Development","id":"ITEM-3","issue":"1","issued":{"date-parts":[["2014"]]},"page":"3-22","title":"Age differences in subjective well-being across adulthood: The roles of savoring and future time perspective","type":"article-journal","volume":"78"},"uris":["http://www.mendeley.com/documents/?uuid=9ffe90f7-6cc9-476e-a5d6-821e7bac5e75"]}],"mendeley":{"formattedCitation":"(Carstensen, LL, Fung, HH, &amp; Charles 2009; Carstensen and Mikels 2005; Ramsey and Gentzler 2014)","plainTextFormattedCitation":"(Carstensen, LL, Fung, HH, &amp; Charles 2009; Carstensen and Mikels 2005; Ramsey and Gentzler 2014)","previouslyFormattedCitation":"(Carstensen, LL, Fung, HH, &amp; Charles 2009; Carstensen and Mikels 2005; Ramsey and Gentzler 2014)"},"properties":{"noteIndex":0},"schema":"https://github.com/citation-style-language/schema/raw/master/csl-citation.json"}</w:instrText>
      </w:r>
      <w:r w:rsidRPr="005C2248">
        <w:rPr>
          <w:rFonts w:ascii="Candara" w:hAnsi="Candara"/>
          <w:sz w:val="20"/>
          <w:szCs w:val="20"/>
        </w:rPr>
        <w:fldChar w:fldCharType="separate"/>
      </w:r>
      <w:r w:rsidR="00AD0D51" w:rsidRPr="00AD0D51">
        <w:rPr>
          <w:rFonts w:ascii="Candara" w:hAnsi="Candara"/>
          <w:noProof/>
          <w:sz w:val="20"/>
          <w:szCs w:val="20"/>
        </w:rPr>
        <w:t>(Carstensen, LL, Fung, HH, &amp; Charles 2009; Carstensen and Mikels 2005; Ramsey and Gentzler 2014)</w:t>
      </w:r>
      <w:r w:rsidRPr="005C2248">
        <w:rPr>
          <w:rFonts w:ascii="Candara" w:hAnsi="Candara"/>
          <w:sz w:val="20"/>
          <w:szCs w:val="20"/>
        </w:rPr>
        <w:fldChar w:fldCharType="end"/>
      </w:r>
      <w:r w:rsidRPr="005C2248">
        <w:rPr>
          <w:rFonts w:ascii="Candara" w:hAnsi="Candara"/>
          <w:sz w:val="20"/>
          <w:szCs w:val="20"/>
        </w:rPr>
        <w:t>. Beberapa remaja menunjukkan penyerapan penuh terhadap pengalaman positif (</w:t>
      </w:r>
      <w:r w:rsidRPr="005C2248">
        <w:rPr>
          <w:rFonts w:ascii="Candara" w:hAnsi="Candara"/>
          <w:i/>
          <w:iCs/>
          <w:sz w:val="20"/>
          <w:szCs w:val="20"/>
        </w:rPr>
        <w:t>absorption</w:t>
      </w:r>
      <w:r w:rsidRPr="005C2248">
        <w:rPr>
          <w:rFonts w:ascii="Candara" w:hAnsi="Candara"/>
          <w:sz w:val="20"/>
          <w:szCs w:val="20"/>
        </w:rPr>
        <w:t>) atau cenderung meredam emosi positif melalui pemikiran negatif (</w:t>
      </w:r>
      <w:r w:rsidRPr="005C2248">
        <w:rPr>
          <w:rFonts w:ascii="Candara" w:hAnsi="Candara"/>
          <w:i/>
          <w:iCs/>
          <w:sz w:val="20"/>
          <w:szCs w:val="20"/>
        </w:rPr>
        <w:t>dampening</w:t>
      </w:r>
      <w:r w:rsidRPr="005C2248">
        <w:rPr>
          <w:rFonts w:ascii="Candara" w:hAnsi="Candara"/>
          <w:sz w:val="20"/>
          <w:szCs w:val="20"/>
        </w:rPr>
        <w:t xml:space="preserve">) sehingga mengurangi manfaat dari penerimaan </w:t>
      </w:r>
      <w:r w:rsidRPr="005C2248">
        <w:rPr>
          <w:rFonts w:ascii="Candara" w:hAnsi="Candara"/>
          <w:i/>
          <w:iCs/>
          <w:sz w:val="20"/>
          <w:szCs w:val="20"/>
        </w:rPr>
        <w:t xml:space="preserve">savoring </w:t>
      </w:r>
      <w:r w:rsidRPr="005C2248">
        <w:rPr>
          <w:rFonts w:ascii="Candara" w:hAnsi="Candara"/>
          <w:i/>
          <w:iCs/>
          <w:sz w:val="20"/>
          <w:szCs w:val="20"/>
        </w:rPr>
        <w:fldChar w:fldCharType="begin" w:fldLock="1"/>
      </w:r>
      <w:r w:rsidR="00A265CC">
        <w:rPr>
          <w:rFonts w:ascii="Candara" w:hAnsi="Candara"/>
          <w:i/>
          <w:iCs/>
          <w:sz w:val="20"/>
          <w:szCs w:val="20"/>
        </w:rPr>
        <w:instrText>ADDIN CSL_CITATION {"citationItems":[{"id":"ITEM-1","itemData":{"DOI":"10.5502/ijw.v1i1.18","abstract":"In this paper, we focus on unanswered questions and future directions in positive psychology, with a special emphasis on savoring processes that regulate positive emotions. To advance our understanding of the savoring processes underlying positive experience, we highlight three unresolved issues that must be addressed: (1) discriminating the distinctive neuropsychological profiles associated with different savoring processes; (2) developing viable methods of measuring and analyzing the mediational mechanisms involved in real-time savoring; and (3) clarifying the developmental processes through which people acquire different strategies to savor positive experiences across the life span. We propose several potentially fruitful lines of attack aimed at addressing these unsolved problems, each of which requires new methods of assessment to advance theory and refine our conceptual understanding of savoring.","author":[{"dropping-particle":"","family":"Bryant","given":"","non-dropping-particle":"","parse-names":false,"suffix":""},{"dropping-particle":"","family":"Chadwick","given":"Erica D.","non-dropping-particle":"","parse-names":false,"suffix":""},{"dropping-particle":"","family":"Kluwe","given":"Katharina","non-dropping-particle":"","parse-names":false,"suffix":""}],"container-title":"International Journal of Wellbeing","id":"ITEM-1","issue":"1","issued":{"date-parts":[["2011"]]},"title":"Understanding the Processes that Regulate Positive Emotional Experience: Unsolved Problems and Future Directions for Theory and Research on Savoring","type":"article-journal","volume":"1"},"uris":["http://www.mendeley.com/documents/?uuid=c852be13-16d4-463e-9d61-c72b39396292"]},{"id":"ITEM-2","itemData":{"DOI":"10.1037/0022-3514.85.3.566","ISSN":"00223514","PMID":"14498791","abstract":"Five studies examined the hypotheses that when people experience positive affect, those low in self-esteem are especially likely to dampen that affect, whereas those high in self-esteem are especially likely to savor it. Undergraduate participants' memories for a positive event (Study 1) and their reported reactions to a success (Study 2) supported the dampening prediction. Results also suggest that dampening was associated with worse mood the day after a success (Study 2), that positive and negative affect regulation are distinct, that self-esteem is associated with affect regulation even when Neuroticism and Extraversion are controlled (Studies 3 and 4), and that self-esteem may be especially important for certain types of positive events and positive affect regulation (Study 5).","author":[{"dropping-particle":"V.","family":"Wood","given":"Joanne","non-dropping-particle":"","parse-names":false,"suffix":""},{"dropping-particle":"","family":"Heimpel","given":"Sara A.","non-dropping-particle":"","parse-names":false,"suffix":""},{"dropping-particle":"","family":"Michela","given":"John L.","non-dropping-particle":"","parse-names":false,"suffix":""}],"container-title":"Journal of Personality and Social Psychology","id":"ITEM-2","issue":"3","issued":{"date-parts":[["2003"]]},"page":"566-580","title":"Savoring Versus Dampening: Self-Esteem Differences in Regulating Positive Affect","type":"article-journal","volume":"85"},"uris":["http://www.mendeley.com/documents/?uuid=c513afb4-81a7-408d-8459-9c80476ee109"]}],"mendeley":{"formattedCitation":"(Bryant et al. 2011; Wood, Heimpel, and Michela 2003)","plainTextFormattedCitation":"(Bryant et al. 2011; Wood, Heimpel, and Michela 2003)","previouslyFormattedCitation":"(Bryant et al. 2011; Wood, Heimpel, and Michela 2003)"},"properties":{"noteIndex":0},"schema":"https://github.com/citation-style-language/schema/raw/master/csl-citation.json"}</w:instrText>
      </w:r>
      <w:r w:rsidRPr="005C2248">
        <w:rPr>
          <w:rFonts w:ascii="Candara" w:hAnsi="Candara"/>
          <w:i/>
          <w:iCs/>
          <w:sz w:val="20"/>
          <w:szCs w:val="20"/>
        </w:rPr>
        <w:fldChar w:fldCharType="separate"/>
      </w:r>
      <w:r w:rsidR="00AD0D51" w:rsidRPr="00AD0D51">
        <w:rPr>
          <w:rFonts w:ascii="Candara" w:hAnsi="Candara"/>
          <w:iCs/>
          <w:noProof/>
          <w:sz w:val="20"/>
          <w:szCs w:val="20"/>
        </w:rPr>
        <w:t>(Bryant et al. 2011; Wood, Heimpel, and Michela 2003)</w:t>
      </w:r>
      <w:r w:rsidRPr="005C2248">
        <w:rPr>
          <w:rFonts w:ascii="Candara" w:hAnsi="Candara"/>
          <w:i/>
          <w:iCs/>
          <w:sz w:val="20"/>
          <w:szCs w:val="20"/>
        </w:rPr>
        <w:fldChar w:fldCharType="end"/>
      </w:r>
      <w:r w:rsidRPr="005C2248">
        <w:rPr>
          <w:rFonts w:ascii="Candara" w:hAnsi="Candara"/>
          <w:sz w:val="20"/>
          <w:szCs w:val="20"/>
        </w:rPr>
        <w:t xml:space="preserve">. Selain itu, kurangnya sumber daya perhatian menjadikan remaja sulit untuk fokus atau menyadari secara penuh momen menyenangkan, sehingga kurang bisa menikmati momen secara utuh dalam kehidupan sehari-hari </w:t>
      </w:r>
      <w:r w:rsidRPr="005C2248">
        <w:rPr>
          <w:rFonts w:ascii="Candara" w:hAnsi="Candara"/>
          <w:sz w:val="20"/>
          <w:szCs w:val="20"/>
        </w:rPr>
        <w:fldChar w:fldCharType="begin" w:fldLock="1"/>
      </w:r>
      <w:r w:rsidR="00A265CC">
        <w:rPr>
          <w:rFonts w:ascii="Candara" w:hAnsi="Candara"/>
          <w:sz w:val="20"/>
          <w:szCs w:val="20"/>
        </w:rPr>
        <w:instrText>ADDIN CSL_CITATION {"citationItems":[{"id":"ITEM-1","itemData":{"DOI":"10.3389/fpsyg.2021.771698","ISSN":"16641078","abstract":"As research on savoring has increased dramatically since publication of the book Savoring: A New Model of Positive Experience (Bryant and Veroff, 2007), savoring has gradually become a core concept in positive psychology. I begin by reviewing the evolution of this concept, the development of instruments for assessing savoring ability and savoring strategies, and the wide range of applications of savoring in the psychosocial and health sciences. I then consider important directions for future theory and research. To advance our understanding of how naturalistic savoring unfolds over time, future work should integrate the perceptual judgments involved in not only the later stages of attending to and regulating positive experience (where past research has concentrated), but also the initial stages of searching for and noticing positive stimuli. Whereas most research has investigated reactive savoring, which occurs spontaneously in response to positive events or feelings, future work is also needed on proactive savoring, which begins with the deliberate act of seeking out or creating positive stimuli. To advance the measurement of savoring-related constructs, I recommend future work move beyond retrospective self-report methods toward the assessment of savoring as it occurs in real-time. The development of new methods of measuring meta-awareness and the regulation of attentional focus are crucial to advancing our understanding of savoring processes. I review recent research on the neurobiological correlates of savoring and suggest future directions in which to expand such work. I highlight the need for research aimed at unraveling the developmental processes through which savoring skills and deficits evolve and the role that savoring impairments play in the etiology and maintenance of psychopathology. Research is also needed to learn more about what enhances savoring, and to disentangle how people regulate the intensity versus duration of positive emotions. Finally, I encourage future researchers to integrate the study of anticipation, savoring the moment, and reminiscence within individuals across time.","author":[{"dropping-particle":"","family":"Bryant","given":"Fred B.","non-dropping-particle":"","parse-names":false,"suffix":""}],"container-title":"Frontiers in Psychology","id":"ITEM-1","issue":"December","issued":{"date-parts":[["2021"]]},"title":"Current Progress and Future Directions for Theory and Research on Savoring","type":"article-journal","volume":"12"},"uris":["http://www.mendeley.com/documents/?uuid=64ba18fc-f5f4-4161-9d5e-e055acdab234"]}],"mendeley":{"formattedCitation":"(Bryant 2021)","plainTextFormattedCitation":"(Bryant 2021)","previouslyFormattedCitation":"(Bryant 2021)"},"properties":{"noteIndex":0},"schema":"https://github.com/citation-style-language/schema/raw/master/csl-citation.json"}</w:instrText>
      </w:r>
      <w:r w:rsidRPr="005C2248">
        <w:rPr>
          <w:rFonts w:ascii="Candara" w:hAnsi="Candara"/>
          <w:sz w:val="20"/>
          <w:szCs w:val="20"/>
        </w:rPr>
        <w:fldChar w:fldCharType="separate"/>
      </w:r>
      <w:r w:rsidR="00AD0D51" w:rsidRPr="00AD0D51">
        <w:rPr>
          <w:rFonts w:ascii="Candara" w:hAnsi="Candara"/>
          <w:noProof/>
          <w:sz w:val="20"/>
          <w:szCs w:val="20"/>
        </w:rPr>
        <w:t>(Bryant 2021)</w:t>
      </w:r>
      <w:r w:rsidRPr="005C2248">
        <w:rPr>
          <w:rFonts w:ascii="Candara" w:hAnsi="Candara"/>
          <w:sz w:val="20"/>
          <w:szCs w:val="20"/>
        </w:rPr>
        <w:fldChar w:fldCharType="end"/>
      </w:r>
      <w:r w:rsidRPr="005C2248">
        <w:rPr>
          <w:rFonts w:ascii="Candara" w:hAnsi="Candara"/>
          <w:sz w:val="20"/>
          <w:szCs w:val="20"/>
        </w:rPr>
        <w:t>.</w:t>
      </w:r>
    </w:p>
    <w:p w14:paraId="39F4D03F" w14:textId="36B7ABB8" w:rsidR="00E90161" w:rsidRPr="005C2248" w:rsidRDefault="005C2248" w:rsidP="005C2248">
      <w:pPr>
        <w:pBdr>
          <w:top w:val="nil"/>
          <w:left w:val="nil"/>
          <w:bottom w:val="nil"/>
          <w:right w:val="nil"/>
          <w:between w:val="nil"/>
        </w:pBdr>
        <w:spacing w:before="40" w:line="240" w:lineRule="auto"/>
        <w:ind w:firstLine="719"/>
        <w:jc w:val="both"/>
        <w:rPr>
          <w:rFonts w:ascii="Candara" w:hAnsi="Candara"/>
          <w:sz w:val="24"/>
          <w:szCs w:val="24"/>
        </w:rPr>
      </w:pPr>
      <w:r w:rsidRPr="005C2248">
        <w:rPr>
          <w:rFonts w:ascii="Candara" w:hAnsi="Candara"/>
          <w:sz w:val="20"/>
          <w:szCs w:val="20"/>
        </w:rPr>
        <w:t>Kami perlu menyampaikan keterbatasan dalam penelitian ini. Waktu pengambilan data bertepatan dengan pelaksanaan Ujian Tengah Semester (UTS) pada salah satu sekolah, sehingga pengisian data kurang optimal</w:t>
      </w:r>
      <w:r w:rsidRPr="008067A0">
        <w:rPr>
          <w:rFonts w:ascii="Candara" w:hAnsi="Candara"/>
          <w:sz w:val="24"/>
          <w:szCs w:val="24"/>
        </w:rPr>
        <w:t>.</w:t>
      </w:r>
    </w:p>
    <w:p w14:paraId="63AB516D" w14:textId="77777777" w:rsidR="004A2BD0" w:rsidRPr="00FE2493" w:rsidRDefault="004A2BD0" w:rsidP="00FE2493">
      <w:pPr>
        <w:pStyle w:val="Heading"/>
        <w:jc w:val="center"/>
        <w:rPr>
          <w:sz w:val="20"/>
          <w:szCs w:val="20"/>
        </w:rPr>
      </w:pPr>
      <w:r w:rsidRPr="00FE2493">
        <w:rPr>
          <w:sz w:val="20"/>
          <w:szCs w:val="20"/>
        </w:rPr>
        <w:t>Kesimpulan</w:t>
      </w:r>
    </w:p>
    <w:p w14:paraId="0EFA2F7F" w14:textId="370685A4" w:rsidR="005C2248" w:rsidRPr="005C2248" w:rsidRDefault="005C2248" w:rsidP="0005725D">
      <w:pPr>
        <w:pBdr>
          <w:top w:val="nil"/>
          <w:left w:val="nil"/>
          <w:bottom w:val="nil"/>
          <w:right w:val="nil"/>
          <w:between w:val="nil"/>
        </w:pBdr>
        <w:spacing w:before="40" w:after="0" w:line="240" w:lineRule="auto"/>
        <w:ind w:firstLine="719"/>
        <w:jc w:val="both"/>
        <w:rPr>
          <w:rFonts w:ascii="Candara" w:eastAsia="Candara" w:hAnsi="Candara" w:cs="Candara"/>
          <w:color w:val="000000"/>
          <w:sz w:val="20"/>
          <w:szCs w:val="20"/>
        </w:rPr>
      </w:pPr>
      <w:r w:rsidRPr="005C2248">
        <w:rPr>
          <w:rFonts w:ascii="Candara" w:eastAsia="Candara" w:hAnsi="Candara" w:cs="Candara"/>
          <w:color w:val="000000"/>
          <w:sz w:val="20"/>
          <w:szCs w:val="20"/>
        </w:rPr>
        <w:t xml:space="preserve">Pada hasil kesimpulan penelitian ini </w:t>
      </w:r>
      <w:r w:rsidR="00273379">
        <w:rPr>
          <w:rFonts w:ascii="Candara" w:eastAsia="Candara" w:hAnsi="Candara" w:cs="Candara"/>
          <w:color w:val="000000"/>
          <w:sz w:val="20"/>
          <w:szCs w:val="20"/>
        </w:rPr>
        <w:t xml:space="preserve">menemukan bahwa tidak ada pengaruh signifikan antara </w:t>
      </w:r>
      <w:r w:rsidRPr="005C2248">
        <w:rPr>
          <w:rFonts w:ascii="Candara" w:eastAsia="Candara" w:hAnsi="Candara" w:cs="Candara"/>
          <w:i/>
          <w:iCs/>
          <w:color w:val="000000"/>
          <w:sz w:val="20"/>
          <w:szCs w:val="20"/>
        </w:rPr>
        <w:t>peer social support</w:t>
      </w:r>
      <w:r w:rsidRPr="005C2248">
        <w:rPr>
          <w:rFonts w:ascii="Candara" w:eastAsia="Candara" w:hAnsi="Candara" w:cs="Candara"/>
          <w:color w:val="000000"/>
          <w:sz w:val="20"/>
          <w:szCs w:val="20"/>
        </w:rPr>
        <w:t xml:space="preserve"> terhadap </w:t>
      </w:r>
      <w:r w:rsidRPr="005C2248">
        <w:rPr>
          <w:rFonts w:ascii="Candara" w:eastAsia="Candara" w:hAnsi="Candara" w:cs="Candara"/>
          <w:i/>
          <w:iCs/>
          <w:color w:val="000000"/>
          <w:sz w:val="20"/>
          <w:szCs w:val="20"/>
        </w:rPr>
        <w:t xml:space="preserve">social well-being </w:t>
      </w:r>
      <w:r w:rsidRPr="005C2248">
        <w:rPr>
          <w:rFonts w:ascii="Candara" w:eastAsia="Candara" w:hAnsi="Candara" w:cs="Candara"/>
          <w:color w:val="000000"/>
          <w:sz w:val="20"/>
          <w:szCs w:val="20"/>
        </w:rPr>
        <w:t xml:space="preserve">pada remaja, meskipun </w:t>
      </w:r>
      <w:r w:rsidRPr="005C2248">
        <w:rPr>
          <w:rFonts w:ascii="Candara" w:eastAsia="Candara" w:hAnsi="Candara" w:cs="Candara"/>
          <w:i/>
          <w:iCs/>
          <w:color w:val="000000"/>
          <w:sz w:val="20"/>
          <w:szCs w:val="20"/>
        </w:rPr>
        <w:t xml:space="preserve">peer social support </w:t>
      </w:r>
      <w:r w:rsidRPr="005C2248">
        <w:rPr>
          <w:rFonts w:ascii="Candara" w:eastAsia="Candara" w:hAnsi="Candara" w:cs="Candara"/>
          <w:color w:val="000000"/>
          <w:sz w:val="20"/>
          <w:szCs w:val="20"/>
        </w:rPr>
        <w:t xml:space="preserve">tinggi dan </w:t>
      </w:r>
      <w:r w:rsidRPr="005C2248">
        <w:rPr>
          <w:rFonts w:ascii="Candara" w:eastAsia="Candara" w:hAnsi="Candara" w:cs="Candara"/>
          <w:i/>
          <w:iCs/>
          <w:color w:val="000000"/>
          <w:sz w:val="20"/>
          <w:szCs w:val="20"/>
        </w:rPr>
        <w:t xml:space="preserve">social well-being </w:t>
      </w:r>
      <w:r w:rsidRPr="005C2248">
        <w:rPr>
          <w:rFonts w:ascii="Candara" w:eastAsia="Candara" w:hAnsi="Candara" w:cs="Candara"/>
          <w:color w:val="000000"/>
          <w:sz w:val="20"/>
          <w:szCs w:val="20"/>
        </w:rPr>
        <w:t xml:space="preserve">tetap </w:t>
      </w:r>
      <w:r w:rsidR="002E4E75">
        <w:rPr>
          <w:rFonts w:ascii="Candara" w:eastAsia="Candara" w:hAnsi="Candara" w:cs="Candara"/>
          <w:color w:val="000000"/>
          <w:sz w:val="20"/>
          <w:szCs w:val="20"/>
        </w:rPr>
        <w:t xml:space="preserve">terletak </w:t>
      </w:r>
      <w:r w:rsidRPr="005C2248">
        <w:rPr>
          <w:rFonts w:ascii="Candara" w:eastAsia="Candara" w:hAnsi="Candara" w:cs="Candara"/>
          <w:color w:val="000000"/>
          <w:sz w:val="20"/>
          <w:szCs w:val="20"/>
        </w:rPr>
        <w:t>pada kategori sedang karena di</w:t>
      </w:r>
      <w:r w:rsidR="002E4E75">
        <w:rPr>
          <w:rFonts w:ascii="Candara" w:eastAsia="Candara" w:hAnsi="Candara" w:cs="Candara"/>
          <w:color w:val="000000"/>
          <w:sz w:val="20"/>
          <w:szCs w:val="20"/>
        </w:rPr>
        <w:t>sebabkan</w:t>
      </w:r>
      <w:r w:rsidRPr="005C2248">
        <w:rPr>
          <w:rFonts w:ascii="Candara" w:eastAsia="Candara" w:hAnsi="Candara" w:cs="Candara"/>
          <w:color w:val="000000"/>
          <w:sz w:val="20"/>
          <w:szCs w:val="20"/>
        </w:rPr>
        <w:t xml:space="preserve"> oleh kualitas dukungan serta faktor lain </w:t>
      </w:r>
      <w:r w:rsidR="002E4E75">
        <w:rPr>
          <w:rFonts w:ascii="Candara" w:eastAsia="Candara" w:hAnsi="Candara" w:cs="Candara"/>
          <w:color w:val="000000"/>
          <w:sz w:val="20"/>
          <w:szCs w:val="20"/>
        </w:rPr>
        <w:t>yaitu</w:t>
      </w:r>
      <w:r w:rsidRPr="005C2248">
        <w:rPr>
          <w:rFonts w:ascii="Candara" w:eastAsia="Candara" w:hAnsi="Candara" w:cs="Candara"/>
          <w:color w:val="000000"/>
          <w:sz w:val="20"/>
          <w:szCs w:val="20"/>
        </w:rPr>
        <w:t xml:space="preserve"> </w:t>
      </w:r>
      <w:r w:rsidRPr="005C2248">
        <w:rPr>
          <w:rFonts w:ascii="Candara" w:eastAsia="Candara" w:hAnsi="Candara" w:cs="Candara"/>
          <w:i/>
          <w:iCs/>
          <w:color w:val="000000"/>
          <w:sz w:val="20"/>
          <w:szCs w:val="20"/>
        </w:rPr>
        <w:t>sense of community</w:t>
      </w:r>
      <w:r w:rsidRPr="005C2248">
        <w:rPr>
          <w:rFonts w:ascii="Candara" w:eastAsia="Candara" w:hAnsi="Candara" w:cs="Candara"/>
          <w:color w:val="000000"/>
          <w:sz w:val="20"/>
          <w:szCs w:val="20"/>
        </w:rPr>
        <w:t xml:space="preserve">, kepribadian dan penyesuaian diri. Selain itu, kemampuan </w:t>
      </w:r>
      <w:r w:rsidRPr="005C2248">
        <w:rPr>
          <w:rFonts w:ascii="Candara" w:eastAsia="Candara" w:hAnsi="Candara" w:cs="Candara"/>
          <w:i/>
          <w:iCs/>
          <w:color w:val="000000"/>
          <w:sz w:val="20"/>
          <w:szCs w:val="20"/>
        </w:rPr>
        <w:t xml:space="preserve">savoring </w:t>
      </w:r>
      <w:r w:rsidRPr="005C2248">
        <w:rPr>
          <w:rFonts w:ascii="Candara" w:eastAsia="Candara" w:hAnsi="Candara" w:cs="Candara"/>
          <w:color w:val="000000"/>
          <w:sz w:val="20"/>
          <w:szCs w:val="20"/>
        </w:rPr>
        <w:t xml:space="preserve">yang tinggi tidak cukup untuk meningkatkan keterhubungan sosial karena </w:t>
      </w:r>
      <w:r w:rsidRPr="005C2248">
        <w:rPr>
          <w:rFonts w:ascii="Candara" w:eastAsia="Candara" w:hAnsi="Candara" w:cs="Candara"/>
          <w:i/>
          <w:iCs/>
          <w:color w:val="000000"/>
          <w:sz w:val="20"/>
          <w:szCs w:val="20"/>
        </w:rPr>
        <w:t xml:space="preserve">savoring </w:t>
      </w:r>
      <w:r w:rsidRPr="005C2248">
        <w:rPr>
          <w:rFonts w:ascii="Candara" w:eastAsia="Candara" w:hAnsi="Candara" w:cs="Candara"/>
          <w:color w:val="000000"/>
          <w:sz w:val="20"/>
          <w:szCs w:val="20"/>
        </w:rPr>
        <w:t xml:space="preserve">lebih berkaitan dengan </w:t>
      </w:r>
      <w:r w:rsidRPr="005C2248">
        <w:rPr>
          <w:rFonts w:ascii="Candara" w:eastAsia="Candara" w:hAnsi="Candara" w:cs="Candara"/>
          <w:i/>
          <w:iCs/>
          <w:color w:val="000000"/>
          <w:sz w:val="20"/>
          <w:szCs w:val="20"/>
        </w:rPr>
        <w:t xml:space="preserve">subjective well-being </w:t>
      </w:r>
      <w:r w:rsidRPr="005C2248">
        <w:rPr>
          <w:rFonts w:ascii="Candara" w:eastAsia="Candara" w:hAnsi="Candara" w:cs="Candara"/>
          <w:color w:val="000000"/>
          <w:sz w:val="20"/>
          <w:szCs w:val="20"/>
        </w:rPr>
        <w:t>dan dipengaruhi oleh perkembangan emosi remaja serta faktor lingkungan sekitar.</w:t>
      </w:r>
    </w:p>
    <w:p w14:paraId="1DEDC344" w14:textId="0F42AD15" w:rsidR="005C2248" w:rsidRDefault="005C2248" w:rsidP="0005725D">
      <w:pPr>
        <w:pBdr>
          <w:top w:val="nil"/>
          <w:left w:val="nil"/>
          <w:bottom w:val="nil"/>
          <w:right w:val="nil"/>
          <w:between w:val="nil"/>
        </w:pBdr>
        <w:spacing w:before="40" w:after="0" w:line="240" w:lineRule="auto"/>
        <w:ind w:firstLine="719"/>
        <w:jc w:val="both"/>
        <w:rPr>
          <w:rFonts w:ascii="Candara" w:eastAsia="Candara" w:hAnsi="Candara" w:cs="Candara"/>
          <w:color w:val="000000"/>
          <w:sz w:val="20"/>
          <w:szCs w:val="20"/>
        </w:rPr>
      </w:pPr>
      <w:r w:rsidRPr="005C2248">
        <w:rPr>
          <w:rFonts w:ascii="Candara" w:eastAsia="Candara" w:hAnsi="Candara" w:cs="Candara"/>
          <w:color w:val="000000"/>
          <w:sz w:val="20"/>
          <w:szCs w:val="20"/>
        </w:rPr>
        <w:t xml:space="preserve">Saran bagi guru untuk terus mrnciptakan lingkungan yang mendukung proses interaksi siswa antar teman sebaya sehingga </w:t>
      </w:r>
      <w:r w:rsidRPr="005C2248">
        <w:rPr>
          <w:rFonts w:ascii="Candara" w:eastAsia="Candara" w:hAnsi="Candara" w:cs="Candara"/>
          <w:i/>
          <w:iCs/>
          <w:color w:val="000000"/>
          <w:sz w:val="20"/>
          <w:szCs w:val="20"/>
        </w:rPr>
        <w:t xml:space="preserve">social well-being </w:t>
      </w:r>
      <w:r w:rsidRPr="005C2248">
        <w:rPr>
          <w:rFonts w:ascii="Candara" w:eastAsia="Candara" w:hAnsi="Candara" w:cs="Candara"/>
          <w:color w:val="000000"/>
          <w:sz w:val="20"/>
          <w:szCs w:val="20"/>
        </w:rPr>
        <w:t xml:space="preserve">pada siswa lebih aman, inklusif dan suportif secara emosional. Siswa disarankan untuk menerapkan strategi </w:t>
      </w:r>
      <w:r w:rsidRPr="005C2248">
        <w:rPr>
          <w:rFonts w:ascii="Candara" w:eastAsia="Candara" w:hAnsi="Candara" w:cs="Candara"/>
          <w:i/>
          <w:iCs/>
          <w:color w:val="000000"/>
          <w:sz w:val="20"/>
          <w:szCs w:val="20"/>
        </w:rPr>
        <w:t xml:space="preserve">savoring </w:t>
      </w:r>
      <w:r w:rsidRPr="005C2248">
        <w:rPr>
          <w:rFonts w:ascii="Candara" w:eastAsia="Candara" w:hAnsi="Candara" w:cs="Candara"/>
          <w:color w:val="000000"/>
          <w:sz w:val="20"/>
          <w:szCs w:val="20"/>
        </w:rPr>
        <w:t xml:space="preserve">interpersonal, yaitu menjaga hubungan dengan mencerminkan etika kepedulian secara lebih positif </w:t>
      </w:r>
      <w:r w:rsidR="002E4E75">
        <w:rPr>
          <w:rFonts w:ascii="Candara" w:eastAsia="Candara" w:hAnsi="Candara" w:cs="Candara"/>
          <w:color w:val="000000"/>
          <w:sz w:val="20"/>
          <w:szCs w:val="20"/>
        </w:rPr>
        <w:t xml:space="preserve">pada </w:t>
      </w:r>
      <w:r w:rsidRPr="005C2248">
        <w:rPr>
          <w:rFonts w:ascii="Candara" w:eastAsia="Candara" w:hAnsi="Candara" w:cs="Candara"/>
          <w:color w:val="000000"/>
          <w:sz w:val="20"/>
          <w:szCs w:val="20"/>
        </w:rPr>
        <w:t xml:space="preserve">kehidupan sehari-hari </w:t>
      </w:r>
      <w:r w:rsidR="002E4E75">
        <w:rPr>
          <w:rFonts w:ascii="Candara" w:eastAsia="Candara" w:hAnsi="Candara" w:cs="Candara"/>
          <w:color w:val="000000"/>
          <w:sz w:val="20"/>
          <w:szCs w:val="20"/>
        </w:rPr>
        <w:t xml:space="preserve">misalnya </w:t>
      </w:r>
      <w:r w:rsidRPr="005C2248">
        <w:rPr>
          <w:rFonts w:ascii="Candara" w:eastAsia="Candara" w:hAnsi="Candara" w:cs="Candara"/>
          <w:color w:val="000000"/>
          <w:sz w:val="20"/>
          <w:szCs w:val="20"/>
        </w:rPr>
        <w:t xml:space="preserve">di sekolah. Dengan </w:t>
      </w:r>
      <w:r w:rsidR="002E4E75">
        <w:rPr>
          <w:rFonts w:ascii="Candara" w:eastAsia="Candara" w:hAnsi="Candara" w:cs="Candara"/>
          <w:color w:val="000000"/>
          <w:sz w:val="20"/>
          <w:szCs w:val="20"/>
        </w:rPr>
        <w:t xml:space="preserve">menerapkan </w:t>
      </w:r>
      <w:r w:rsidR="002E4E75">
        <w:rPr>
          <w:rFonts w:ascii="Candara" w:eastAsia="Candara" w:hAnsi="Candara" w:cs="Candara"/>
          <w:i/>
          <w:iCs/>
          <w:color w:val="000000"/>
          <w:sz w:val="20"/>
          <w:szCs w:val="20"/>
        </w:rPr>
        <w:t xml:space="preserve">savoring </w:t>
      </w:r>
      <w:r w:rsidR="002E4E75">
        <w:rPr>
          <w:rFonts w:ascii="Candara" w:eastAsia="Candara" w:hAnsi="Candara" w:cs="Candara"/>
          <w:color w:val="000000"/>
          <w:sz w:val="20"/>
          <w:szCs w:val="20"/>
        </w:rPr>
        <w:t>interpersonal</w:t>
      </w:r>
      <w:r w:rsidRPr="005C2248">
        <w:rPr>
          <w:rFonts w:ascii="Candara" w:eastAsia="Candara" w:hAnsi="Candara" w:cs="Candara"/>
          <w:color w:val="000000"/>
          <w:sz w:val="20"/>
          <w:szCs w:val="20"/>
        </w:rPr>
        <w:t xml:space="preserve">, siswa tidak hanya dapat memperpanjang perasaan positif yang dialami juga dapat membangun hubungan sosial yang lebih erat dengan teman di lingkungan sekolah. Peneliti selanjutnya bisa lebih menggali variabel-variabel ini menggunakan metode kualitatif atau </w:t>
      </w:r>
      <w:r w:rsidRPr="005C2248">
        <w:rPr>
          <w:rFonts w:ascii="Candara" w:eastAsia="Candara" w:hAnsi="Candara" w:cs="Candara"/>
          <w:i/>
          <w:iCs/>
          <w:color w:val="000000"/>
          <w:sz w:val="20"/>
          <w:szCs w:val="20"/>
        </w:rPr>
        <w:t xml:space="preserve">mixed method </w:t>
      </w:r>
      <w:r w:rsidRPr="005C2248">
        <w:rPr>
          <w:rFonts w:ascii="Candara" w:eastAsia="Candara" w:hAnsi="Candara" w:cs="Candara"/>
          <w:color w:val="000000"/>
          <w:sz w:val="20"/>
          <w:szCs w:val="20"/>
        </w:rPr>
        <w:t xml:space="preserve">agar bisa memperoleh data yang lebih kaya dan dapat mengeksplorasi dinamika antar variabel dengan lebih maksimal. Bagi peneliti selanjutnya juga disarankan untuk lebih menggali dan meneliti terkait variabel </w:t>
      </w:r>
      <w:r w:rsidRPr="005C2248">
        <w:rPr>
          <w:rFonts w:ascii="Candara" w:eastAsia="Candara" w:hAnsi="Candara" w:cs="Candara"/>
          <w:i/>
          <w:iCs/>
          <w:color w:val="000000"/>
          <w:sz w:val="20"/>
          <w:szCs w:val="20"/>
        </w:rPr>
        <w:t xml:space="preserve">savoring </w:t>
      </w:r>
      <w:r w:rsidRPr="005C2248">
        <w:rPr>
          <w:rFonts w:ascii="Candara" w:eastAsia="Candara" w:hAnsi="Candara" w:cs="Candara"/>
          <w:color w:val="000000"/>
          <w:sz w:val="20"/>
          <w:szCs w:val="20"/>
        </w:rPr>
        <w:t>yang masih belum banyak ditemukan di Indonesia.</w:t>
      </w:r>
    </w:p>
    <w:p w14:paraId="7783F4F3" w14:textId="77777777" w:rsidR="00B32429" w:rsidRPr="0005725D" w:rsidRDefault="00B32429" w:rsidP="0005725D">
      <w:pPr>
        <w:pBdr>
          <w:top w:val="nil"/>
          <w:left w:val="nil"/>
          <w:bottom w:val="nil"/>
          <w:right w:val="nil"/>
          <w:between w:val="nil"/>
        </w:pBdr>
        <w:spacing w:before="40" w:after="0" w:line="240" w:lineRule="auto"/>
        <w:ind w:firstLine="719"/>
        <w:jc w:val="both"/>
        <w:rPr>
          <w:rFonts w:ascii="Candara" w:eastAsia="Candara" w:hAnsi="Candara" w:cs="Candara"/>
          <w:color w:val="000000"/>
          <w:sz w:val="20"/>
          <w:szCs w:val="20"/>
        </w:rPr>
      </w:pPr>
    </w:p>
    <w:p w14:paraId="5B8F3441" w14:textId="77777777" w:rsidR="00E90161" w:rsidRPr="00FE2493" w:rsidRDefault="00E90161" w:rsidP="00E916CC">
      <w:pPr>
        <w:spacing w:after="0" w:line="240" w:lineRule="auto"/>
        <w:jc w:val="center"/>
        <w:rPr>
          <w:rFonts w:ascii="Candara" w:hAnsi="Candara"/>
          <w:sz w:val="20"/>
          <w:szCs w:val="20"/>
        </w:rPr>
      </w:pPr>
    </w:p>
    <w:p w14:paraId="6B007900" w14:textId="49D827A1" w:rsidR="00FE2493" w:rsidRPr="005C2248" w:rsidRDefault="004A2BD0" w:rsidP="005C2248">
      <w:pPr>
        <w:pStyle w:val="Heading"/>
        <w:jc w:val="center"/>
        <w:rPr>
          <w:sz w:val="20"/>
          <w:szCs w:val="20"/>
        </w:rPr>
      </w:pPr>
      <w:r w:rsidRPr="00FE2493">
        <w:rPr>
          <w:sz w:val="20"/>
          <w:szCs w:val="20"/>
        </w:rPr>
        <w:t>Referensi</w:t>
      </w:r>
    </w:p>
    <w:p w14:paraId="3A3FE3DD" w14:textId="3586EFCA" w:rsidR="007B51EC" w:rsidRPr="007B51EC" w:rsidRDefault="005C2248" w:rsidP="00595E4C">
      <w:pPr>
        <w:widowControl w:val="0"/>
        <w:autoSpaceDE w:val="0"/>
        <w:autoSpaceDN w:val="0"/>
        <w:adjustRightInd w:val="0"/>
        <w:spacing w:line="240" w:lineRule="auto"/>
        <w:ind w:left="480" w:hanging="480"/>
        <w:jc w:val="both"/>
        <w:rPr>
          <w:rFonts w:ascii="Candara" w:hAnsi="Candara" w:cs="Times New Roman"/>
          <w:noProof/>
          <w:sz w:val="16"/>
        </w:rPr>
      </w:pPr>
      <w:r w:rsidRPr="008067A0">
        <w:rPr>
          <w:rFonts w:ascii="Candara" w:eastAsia="Candara" w:hAnsi="Candara" w:cs="Candara"/>
          <w:color w:val="000000"/>
          <w:sz w:val="24"/>
          <w:szCs w:val="24"/>
        </w:rPr>
        <w:fldChar w:fldCharType="begin" w:fldLock="1"/>
      </w:r>
      <w:r w:rsidRPr="008067A0">
        <w:rPr>
          <w:rFonts w:ascii="Candara" w:eastAsia="Candara" w:hAnsi="Candara" w:cs="Candara"/>
          <w:color w:val="000000"/>
          <w:sz w:val="24"/>
          <w:szCs w:val="24"/>
        </w:rPr>
        <w:instrText xml:space="preserve">ADDIN Mendeley Bibliography CSL_BIBLIOGRAPHY </w:instrText>
      </w:r>
      <w:r w:rsidRPr="008067A0">
        <w:rPr>
          <w:rFonts w:ascii="Candara" w:eastAsia="Candara" w:hAnsi="Candara" w:cs="Candara"/>
          <w:color w:val="000000"/>
          <w:sz w:val="24"/>
          <w:szCs w:val="24"/>
        </w:rPr>
        <w:fldChar w:fldCharType="separate"/>
      </w:r>
      <w:r w:rsidR="007B51EC" w:rsidRPr="007B51EC">
        <w:rPr>
          <w:rFonts w:ascii="Candara" w:hAnsi="Candara" w:cs="Times New Roman"/>
          <w:noProof/>
          <w:sz w:val="16"/>
        </w:rPr>
        <w:t xml:space="preserve">Adelia, Tia, Taty Fauzi, and Arizona Arizona. 2021. “Pengaruh Penggunaan Gadget Terhadap Konsentrasi Belajar Siswa Di SMA Negeri 6 Prabumulih.” </w:t>
      </w:r>
      <w:r w:rsidR="007B51EC" w:rsidRPr="007B51EC">
        <w:rPr>
          <w:rFonts w:ascii="Candara" w:hAnsi="Candara" w:cs="Times New Roman"/>
          <w:i/>
          <w:iCs/>
          <w:noProof/>
          <w:sz w:val="16"/>
        </w:rPr>
        <w:t>Jurnal Wahana Konseling</w:t>
      </w:r>
      <w:r w:rsidR="007B51EC" w:rsidRPr="007B51EC">
        <w:rPr>
          <w:rFonts w:ascii="Candara" w:hAnsi="Candara" w:cs="Times New Roman"/>
          <w:noProof/>
          <w:sz w:val="16"/>
        </w:rPr>
        <w:t xml:space="preserve"> 4(1):35–45. doi: 10.31851/juang.v4i1.5153.</w:t>
      </w:r>
    </w:p>
    <w:p w14:paraId="40157784"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Arslan, Nihan. 2017. “Investigating the Relationship between Educational Stress and Emotional Self-Efficacy.” </w:t>
      </w:r>
      <w:r w:rsidRPr="007B51EC">
        <w:rPr>
          <w:rFonts w:ascii="Candara" w:hAnsi="Candara" w:cs="Times New Roman"/>
          <w:i/>
          <w:iCs/>
          <w:noProof/>
          <w:sz w:val="16"/>
        </w:rPr>
        <w:t>Universal Journal of Educational Research</w:t>
      </w:r>
      <w:r w:rsidRPr="007B51EC">
        <w:rPr>
          <w:rFonts w:ascii="Candara" w:hAnsi="Candara" w:cs="Times New Roman"/>
          <w:noProof/>
          <w:sz w:val="16"/>
        </w:rPr>
        <w:t xml:space="preserve"> 5(10):1736–40. doi: 10.13189/ujer.2017.051010.</w:t>
      </w:r>
    </w:p>
    <w:p w14:paraId="1296E1D1"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Azizah, Nisa, and Nadhirotul dan Laily. 2025. “Reframing Happiness</w:t>
      </w:r>
      <w:r w:rsidRPr="007B51EC">
        <w:rPr>
          <w:rFonts w:ascii="Arial" w:hAnsi="Arial" w:cs="Arial"/>
          <w:noProof/>
          <w:sz w:val="16"/>
        </w:rPr>
        <w:t> </w:t>
      </w:r>
      <w:r w:rsidRPr="007B51EC">
        <w:rPr>
          <w:rFonts w:ascii="Candara" w:hAnsi="Candara" w:cs="Times New Roman"/>
          <w:noProof/>
          <w:sz w:val="16"/>
        </w:rPr>
        <w:t xml:space="preserve">: The Effect of Mindfulness Practice on Adolescent Subjective Well- Being.” </w:t>
      </w:r>
      <w:r w:rsidRPr="007B51EC">
        <w:rPr>
          <w:rFonts w:ascii="Candara" w:hAnsi="Candara" w:cs="Times New Roman"/>
          <w:i/>
          <w:iCs/>
          <w:noProof/>
          <w:sz w:val="16"/>
        </w:rPr>
        <w:t>Psikoborneo: Jurnal Ilmiah Psikologi</w:t>
      </w:r>
      <w:r w:rsidRPr="007B51EC">
        <w:rPr>
          <w:rFonts w:ascii="Candara" w:hAnsi="Candara" w:cs="Times New Roman"/>
          <w:noProof/>
          <w:sz w:val="16"/>
        </w:rPr>
        <w:t xml:space="preserve"> 13(2):251–60.</w:t>
      </w:r>
    </w:p>
    <w:p w14:paraId="4161C0C1"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Batubara, Azizah. 2017. “Hubungan Antara Religiusitas Dengan Psychological Well Being Ditinjau Dari Big Five Personality Pada Siswa SMA Negeri 6 Binjai.” </w:t>
      </w:r>
      <w:r w:rsidRPr="007B51EC">
        <w:rPr>
          <w:rFonts w:ascii="Candara" w:hAnsi="Candara" w:cs="Times New Roman"/>
          <w:i/>
          <w:iCs/>
          <w:noProof/>
          <w:sz w:val="16"/>
        </w:rPr>
        <w:t>Al-Irsyad: Jurnal Pendidikan Dan Konseling</w:t>
      </w:r>
      <w:r w:rsidRPr="007B51EC">
        <w:rPr>
          <w:rFonts w:ascii="Candara" w:hAnsi="Candara" w:cs="Times New Roman"/>
          <w:noProof/>
          <w:sz w:val="16"/>
        </w:rPr>
        <w:t xml:space="preserve"> 7(1):48–62.</w:t>
      </w:r>
    </w:p>
    <w:p w14:paraId="5E2C7DEF"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Boniel-Nissim, Meyran, Regina J. J. M. van den Eijnden, Jana Furstova, Claudia Marino, Henri Lahti, Joanna Inchley, Kastytis Šmigelskas, Alessio Vieno, and Petr Badura. 2022. “International Perspectives on Social Media Use among Adolescents: Implications for Mental and Social Well-Being and Substance Use.” </w:t>
      </w:r>
      <w:r w:rsidRPr="007B51EC">
        <w:rPr>
          <w:rFonts w:ascii="Candara" w:hAnsi="Candara" w:cs="Times New Roman"/>
          <w:i/>
          <w:iCs/>
          <w:noProof/>
          <w:sz w:val="16"/>
        </w:rPr>
        <w:t>Computers in Human Behavior</w:t>
      </w:r>
      <w:r w:rsidRPr="007B51EC">
        <w:rPr>
          <w:rFonts w:ascii="Candara" w:hAnsi="Candara" w:cs="Times New Roman"/>
          <w:noProof/>
          <w:sz w:val="16"/>
        </w:rPr>
        <w:t xml:space="preserve"> 129:107144. doi: 10.1016/j.chb.2021.107144.</w:t>
      </w:r>
    </w:p>
    <w:p w14:paraId="6BE82126"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Brady, Ryan R., Michael A. Insler, and Ahmed S. Rahman. 2017. “Bad Company: Understanding Negative Peer Effects in College Achievement.” </w:t>
      </w:r>
      <w:r w:rsidRPr="007B51EC">
        <w:rPr>
          <w:rFonts w:ascii="Candara" w:hAnsi="Candara" w:cs="Times New Roman"/>
          <w:i/>
          <w:iCs/>
          <w:noProof/>
          <w:sz w:val="16"/>
        </w:rPr>
        <w:t>European Economic Review</w:t>
      </w:r>
      <w:r w:rsidRPr="007B51EC">
        <w:rPr>
          <w:rFonts w:ascii="Candara" w:hAnsi="Candara" w:cs="Times New Roman"/>
          <w:noProof/>
          <w:sz w:val="16"/>
        </w:rPr>
        <w:t xml:space="preserve"> 98:144–68. doi: 10.1016/j.euroecorev.2017.06.013.</w:t>
      </w:r>
    </w:p>
    <w:p w14:paraId="434C9B27"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Bryant, F. B., &amp; Veroff, J. 2007. </w:t>
      </w:r>
      <w:r w:rsidRPr="007B51EC">
        <w:rPr>
          <w:rFonts w:ascii="Candara" w:hAnsi="Candara" w:cs="Times New Roman"/>
          <w:i/>
          <w:iCs/>
          <w:noProof/>
          <w:sz w:val="16"/>
        </w:rPr>
        <w:t>Savoring: A New Model of Positive Experience</w:t>
      </w:r>
      <w:r w:rsidRPr="007B51EC">
        <w:rPr>
          <w:rFonts w:ascii="Candara" w:hAnsi="Candara" w:cs="Times New Roman"/>
          <w:noProof/>
          <w:sz w:val="16"/>
        </w:rPr>
        <w:t>. Lawrence Erlbaum Associates Publishers.</w:t>
      </w:r>
    </w:p>
    <w:p w14:paraId="6CE8F3D1"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Bryant &amp; Veroff, Joseph. 2007. </w:t>
      </w:r>
      <w:r w:rsidRPr="007B51EC">
        <w:rPr>
          <w:rFonts w:ascii="Candara" w:hAnsi="Candara" w:cs="Times New Roman"/>
          <w:i/>
          <w:iCs/>
          <w:noProof/>
          <w:sz w:val="16"/>
        </w:rPr>
        <w:t>Savoring A New Model Of Positive Experience</w:t>
      </w:r>
      <w:r w:rsidRPr="007B51EC">
        <w:rPr>
          <w:rFonts w:ascii="Candara" w:hAnsi="Candara" w:cs="Times New Roman"/>
          <w:noProof/>
          <w:sz w:val="16"/>
        </w:rPr>
        <w:t>. Vol. 22.</w:t>
      </w:r>
    </w:p>
    <w:p w14:paraId="3FDE9229"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Bryant, Erica D. Chadwick, and Katharina Kluwe. 2011. “Understanding the Processes That Regulate Positive Emotional Experience: Unsolved Problems and Future Directions for Theory and Research on Savoring.” </w:t>
      </w:r>
      <w:r w:rsidRPr="007B51EC">
        <w:rPr>
          <w:rFonts w:ascii="Candara" w:hAnsi="Candara" w:cs="Times New Roman"/>
          <w:i/>
          <w:iCs/>
          <w:noProof/>
          <w:sz w:val="16"/>
        </w:rPr>
        <w:t>International Journal of Wellbeing</w:t>
      </w:r>
      <w:r w:rsidRPr="007B51EC">
        <w:rPr>
          <w:rFonts w:ascii="Candara" w:hAnsi="Candara" w:cs="Times New Roman"/>
          <w:noProof/>
          <w:sz w:val="16"/>
        </w:rPr>
        <w:t xml:space="preserve"> 1(1). doi: 10.5502/ijw.v1i1.18.</w:t>
      </w:r>
    </w:p>
    <w:p w14:paraId="589A04D6"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Bryant, Fred B. 1989. “A Four‐Factor Model of Perceived Control: Avoiding, Coping, Obtaining, and Savoring.” </w:t>
      </w:r>
      <w:r w:rsidRPr="007B51EC">
        <w:rPr>
          <w:rFonts w:ascii="Candara" w:hAnsi="Candara" w:cs="Times New Roman"/>
          <w:i/>
          <w:iCs/>
          <w:noProof/>
          <w:sz w:val="16"/>
        </w:rPr>
        <w:t>Journal of Personality</w:t>
      </w:r>
      <w:r w:rsidRPr="007B51EC">
        <w:rPr>
          <w:rFonts w:ascii="Candara" w:hAnsi="Candara" w:cs="Times New Roman"/>
          <w:noProof/>
          <w:sz w:val="16"/>
        </w:rPr>
        <w:t xml:space="preserve"> 57(4):773–97. doi: 10.1111/j.1467-6494.1989.tb00494.x.</w:t>
      </w:r>
    </w:p>
    <w:p w14:paraId="27B86CB2"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Bryant, Fred B. 2003. “Savoring Beliefs Inventory (SBI): A Scale for Measuring Beliefs about Savouring.” </w:t>
      </w:r>
      <w:r w:rsidRPr="007B51EC">
        <w:rPr>
          <w:rFonts w:ascii="Candara" w:hAnsi="Candara" w:cs="Times New Roman"/>
          <w:i/>
          <w:iCs/>
          <w:noProof/>
          <w:sz w:val="16"/>
        </w:rPr>
        <w:t>Journal of Mental Health</w:t>
      </w:r>
      <w:r w:rsidRPr="007B51EC">
        <w:rPr>
          <w:rFonts w:ascii="Candara" w:hAnsi="Candara" w:cs="Times New Roman"/>
          <w:noProof/>
          <w:sz w:val="16"/>
        </w:rPr>
        <w:t xml:space="preserve"> 12(2):175–96. doi: 10.1080/0963823031000103489.</w:t>
      </w:r>
    </w:p>
    <w:p w14:paraId="692EB22B"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Bryant, Fred B. 2021. “Current Progress and Future Directions for Theory and Research on Savoring.” </w:t>
      </w:r>
      <w:r w:rsidRPr="007B51EC">
        <w:rPr>
          <w:rFonts w:ascii="Candara" w:hAnsi="Candara" w:cs="Times New Roman"/>
          <w:i/>
          <w:iCs/>
          <w:noProof/>
          <w:sz w:val="16"/>
        </w:rPr>
        <w:t>Frontiers in Psychology</w:t>
      </w:r>
      <w:r w:rsidRPr="007B51EC">
        <w:rPr>
          <w:rFonts w:ascii="Candara" w:hAnsi="Candara" w:cs="Times New Roman"/>
          <w:noProof/>
          <w:sz w:val="16"/>
        </w:rPr>
        <w:t xml:space="preserve"> 12(December). doi: 10.3389/fpsyg.2021.771698.</w:t>
      </w:r>
    </w:p>
    <w:p w14:paraId="3F75FCBB"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Carstensen, LL, Fung, HH, &amp; Charles, ST. 2009. “Selective Attention to Emotion in The Aging Brain.” </w:t>
      </w:r>
      <w:r w:rsidRPr="007B51EC">
        <w:rPr>
          <w:rFonts w:ascii="Candara" w:hAnsi="Candara" w:cs="Times New Roman"/>
          <w:i/>
          <w:iCs/>
          <w:noProof/>
          <w:sz w:val="16"/>
        </w:rPr>
        <w:t>Psychol Aging</w:t>
      </w:r>
      <w:r w:rsidRPr="007B51EC">
        <w:rPr>
          <w:rFonts w:ascii="Candara" w:hAnsi="Candara" w:cs="Times New Roman"/>
          <w:noProof/>
          <w:sz w:val="16"/>
        </w:rPr>
        <w:t xml:space="preserve"> 24(3):519–29. doi: 10.1037/a0016952.Selective.</w:t>
      </w:r>
    </w:p>
    <w:p w14:paraId="2C6D54FF"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Carstensen, Laura L., and Joseph A. Mikels. 2005. “At the Intersection of Emotion and Cognitiom: Aging and the Positivity Effect.” </w:t>
      </w:r>
      <w:r w:rsidRPr="007B51EC">
        <w:rPr>
          <w:rFonts w:ascii="Candara" w:hAnsi="Candara" w:cs="Times New Roman"/>
          <w:i/>
          <w:iCs/>
          <w:noProof/>
          <w:sz w:val="16"/>
        </w:rPr>
        <w:t>Current Directions in Psychological Science</w:t>
      </w:r>
      <w:r w:rsidRPr="007B51EC">
        <w:rPr>
          <w:rFonts w:ascii="Candara" w:hAnsi="Candara" w:cs="Times New Roman"/>
          <w:noProof/>
          <w:sz w:val="16"/>
        </w:rPr>
        <w:t xml:space="preserve"> 14(3):117–21. doi: 10.1111/j.0963-7214.2005.00348.x.</w:t>
      </w:r>
    </w:p>
    <w:p w14:paraId="796283EA"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Chu, Po Sen, Donald A. Saucier, and Eric Hafner. 2010. “Meta-Analysis of the Relationships between Social Support and Well-Being in Children and Adolescents.” </w:t>
      </w:r>
      <w:r w:rsidRPr="007B51EC">
        <w:rPr>
          <w:rFonts w:ascii="Candara" w:hAnsi="Candara" w:cs="Times New Roman"/>
          <w:i/>
          <w:iCs/>
          <w:noProof/>
          <w:sz w:val="16"/>
        </w:rPr>
        <w:t>Journal of Social and Clinical Psychology</w:t>
      </w:r>
      <w:r w:rsidRPr="007B51EC">
        <w:rPr>
          <w:rFonts w:ascii="Candara" w:hAnsi="Candara" w:cs="Times New Roman"/>
          <w:noProof/>
          <w:sz w:val="16"/>
        </w:rPr>
        <w:t xml:space="preserve"> 29(6):624–45. doi: 10.1521/jscp.2010.29.6.624.</w:t>
      </w:r>
    </w:p>
    <w:p w14:paraId="536B9A93"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Dunaeva, Victoria. 2018. “New Approaches in Social Well- Being Studies.” </w:t>
      </w:r>
      <w:r w:rsidRPr="007B51EC">
        <w:rPr>
          <w:rFonts w:ascii="Candara" w:hAnsi="Candara" w:cs="Times New Roman"/>
          <w:i/>
          <w:iCs/>
          <w:noProof/>
          <w:sz w:val="16"/>
        </w:rPr>
        <w:t>PEOPLE: International Journal of Social Sciences</w:t>
      </w:r>
      <w:r w:rsidRPr="007B51EC">
        <w:rPr>
          <w:rFonts w:ascii="Candara" w:hAnsi="Candara" w:cs="Times New Roman"/>
          <w:noProof/>
          <w:sz w:val="16"/>
        </w:rPr>
        <w:t xml:space="preserve"> 4(3):566–73. doi: 10.20319/pijss.2018.43.566573.</w:t>
      </w:r>
    </w:p>
    <w:p w14:paraId="6215C8E6"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Fitriani, Aditya Yoga S. dan Permatasari Rini. 2021. “Dukungan Sosial Dan Kepercayaan Diri Terhadap Keterbukaan Diri Pada Remaja Di Panti </w:t>
      </w:r>
      <w:r w:rsidRPr="007B51EC">
        <w:rPr>
          <w:rFonts w:ascii="Candara" w:hAnsi="Candara" w:cs="Times New Roman"/>
          <w:noProof/>
          <w:sz w:val="16"/>
        </w:rPr>
        <w:lastRenderedPageBreak/>
        <w:t xml:space="preserve">Asuhan Tenggarong.” </w:t>
      </w:r>
      <w:r w:rsidRPr="007B51EC">
        <w:rPr>
          <w:rFonts w:ascii="Candara" w:hAnsi="Candara" w:cs="Times New Roman"/>
          <w:i/>
          <w:iCs/>
          <w:noProof/>
          <w:sz w:val="16"/>
        </w:rPr>
        <w:t>Psikoburneo Jurnal Ilmiah Psikologi</w:t>
      </w:r>
      <w:r w:rsidRPr="007B51EC">
        <w:rPr>
          <w:rFonts w:ascii="Candara" w:hAnsi="Candara" w:cs="Times New Roman"/>
          <w:noProof/>
          <w:sz w:val="16"/>
        </w:rPr>
        <w:t xml:space="preserve"> 9(4):850–62. doi: 10.30872/psikoborneo.</w:t>
      </w:r>
    </w:p>
    <w:p w14:paraId="78C9150A"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Gilman, Amanda B., Karl G. Hill, and J. David Hawkins. 2015. “Gilman, Hill, Hawkins, Howell, Developmental Dynamics of Joining a Gang in Adolescence Gang Membership - 2-14.” 24(2):204–19. doi: 10.1111/jora.12121.The.</w:t>
      </w:r>
    </w:p>
    <w:p w14:paraId="553919A4"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Gyansah, Samuel Tieku, Rejoice Soku, and Gabriel Esilfie. 2015. “Child Deliquency and Pupils’ Academic Performance in Fumesua Municipal Assembly Primary School in the Ejisu- Juaben Municipality, Ashanti Region, Ghana.” </w:t>
      </w:r>
      <w:r w:rsidRPr="007B51EC">
        <w:rPr>
          <w:rFonts w:ascii="Candara" w:hAnsi="Candara" w:cs="Times New Roman"/>
          <w:i/>
          <w:iCs/>
          <w:noProof/>
          <w:sz w:val="16"/>
        </w:rPr>
        <w:t>Journal of Education and Practice</w:t>
      </w:r>
      <w:r w:rsidRPr="007B51EC">
        <w:rPr>
          <w:rFonts w:ascii="Candara" w:hAnsi="Candara" w:cs="Times New Roman"/>
          <w:noProof/>
          <w:sz w:val="16"/>
        </w:rPr>
        <w:t xml:space="preserve"> 6(12):107–20.</w:t>
      </w:r>
    </w:p>
    <w:p w14:paraId="0A998FE8"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Hayes, Andrew F. 2013. “Introduction to Mediation, Moderation, and Conditional Precess Analysis Regression Based Approach.” </w:t>
      </w:r>
      <w:r w:rsidRPr="007B51EC">
        <w:rPr>
          <w:rFonts w:ascii="Candara" w:hAnsi="Candara" w:cs="Times New Roman"/>
          <w:i/>
          <w:iCs/>
          <w:noProof/>
          <w:sz w:val="16"/>
        </w:rPr>
        <w:t>Guilford Press</w:t>
      </w:r>
      <w:r w:rsidRPr="007B51EC">
        <w:rPr>
          <w:rFonts w:ascii="Candara" w:hAnsi="Candara" w:cs="Times New Roman"/>
          <w:noProof/>
          <w:sz w:val="16"/>
        </w:rPr>
        <w:t>.</w:t>
      </w:r>
    </w:p>
    <w:p w14:paraId="40327D44"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Huta, Veronika, and Alan S. Waterman. 2014. “Eudaimonia and Its Distinction from Hedonia: Developing a Classification and Terminology for Understanding Conceptual and Operational Definitions.” </w:t>
      </w:r>
      <w:r w:rsidRPr="007B51EC">
        <w:rPr>
          <w:rFonts w:ascii="Candara" w:hAnsi="Candara" w:cs="Times New Roman"/>
          <w:i/>
          <w:iCs/>
          <w:noProof/>
          <w:sz w:val="16"/>
        </w:rPr>
        <w:t>Journal of Happiness Studies</w:t>
      </w:r>
      <w:r w:rsidRPr="007B51EC">
        <w:rPr>
          <w:rFonts w:ascii="Candara" w:hAnsi="Candara" w:cs="Times New Roman"/>
          <w:noProof/>
          <w:sz w:val="16"/>
        </w:rPr>
        <w:t xml:space="preserve"> 15(6):1425–56. doi: 10.1007/s10902-013-9485-0.</w:t>
      </w:r>
    </w:p>
    <w:p w14:paraId="6BFC6634"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Islami, Mega Wahyu, and Effy Wardati Maryam. 2021. “Social Well-Being in Teeneger Social Media Users [ Social Well-Being Pada Remaja Pengguna Media Sosial ].” 1–9.</w:t>
      </w:r>
    </w:p>
    <w:p w14:paraId="4CE9C430"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John, Nikita Margaret, Oliver Page, Scott Christopher Martin, and Paula Whittaker. 2018. “Impact of Peer Support on Student Mental Wellbeing: A Systematic Review.” </w:t>
      </w:r>
      <w:r w:rsidRPr="007B51EC">
        <w:rPr>
          <w:rFonts w:ascii="Candara" w:hAnsi="Candara" w:cs="Times New Roman"/>
          <w:i/>
          <w:iCs/>
          <w:noProof/>
          <w:sz w:val="16"/>
        </w:rPr>
        <w:t>MedEdPublish</w:t>
      </w:r>
      <w:r w:rsidRPr="007B51EC">
        <w:rPr>
          <w:rFonts w:ascii="Candara" w:hAnsi="Candara" w:cs="Times New Roman"/>
          <w:noProof/>
          <w:sz w:val="16"/>
        </w:rPr>
        <w:t xml:space="preserve"> 7(August 2018):170. doi: 10.15694/mep.2018.0000170.1.</w:t>
      </w:r>
    </w:p>
    <w:p w14:paraId="3F184379"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Jose, Paul E., Bee T. Lim, and Fred B. Bryant. 2012. “Does Savoring Increase Happiness? A Daily Diary Study.” </w:t>
      </w:r>
      <w:r w:rsidRPr="007B51EC">
        <w:rPr>
          <w:rFonts w:ascii="Candara" w:hAnsi="Candara" w:cs="Times New Roman"/>
          <w:i/>
          <w:iCs/>
          <w:noProof/>
          <w:sz w:val="16"/>
        </w:rPr>
        <w:t>Journal of Positive Psychology</w:t>
      </w:r>
      <w:r w:rsidRPr="007B51EC">
        <w:rPr>
          <w:rFonts w:ascii="Candara" w:hAnsi="Candara" w:cs="Times New Roman"/>
          <w:noProof/>
          <w:sz w:val="16"/>
        </w:rPr>
        <w:t xml:space="preserve"> 7(3):176–87. doi: 10.1080/17439760.2012.671345.</w:t>
      </w:r>
    </w:p>
    <w:p w14:paraId="20E1513A"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Kahrilas, Ian J., Jennifer L. Smith, Rebecca L. Silton, and Fred B. Bryant. 2020. “Savoring the Moment: A Link between Affectivity and Depression.” </w:t>
      </w:r>
      <w:r w:rsidRPr="007B51EC">
        <w:rPr>
          <w:rFonts w:ascii="Candara" w:hAnsi="Candara" w:cs="Times New Roman"/>
          <w:i/>
          <w:iCs/>
          <w:noProof/>
          <w:sz w:val="16"/>
        </w:rPr>
        <w:t>International Journal of Wellbeing</w:t>
      </w:r>
      <w:r w:rsidRPr="007B51EC">
        <w:rPr>
          <w:rFonts w:ascii="Candara" w:hAnsi="Candara" w:cs="Times New Roman"/>
          <w:noProof/>
          <w:sz w:val="16"/>
        </w:rPr>
        <w:t xml:space="preserve"> 10(2):19–36. doi: 10.5502/ijw.v10i2.779.</w:t>
      </w:r>
    </w:p>
    <w:p w14:paraId="7EF5D07E"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Keyes, Corey Lee M. 1998. “Social Well-Being Author.” </w:t>
      </w:r>
      <w:r w:rsidRPr="007B51EC">
        <w:rPr>
          <w:rFonts w:ascii="Candara" w:hAnsi="Candara" w:cs="Times New Roman"/>
          <w:i/>
          <w:iCs/>
          <w:noProof/>
          <w:sz w:val="16"/>
        </w:rPr>
        <w:t>American Sociological Association</w:t>
      </w:r>
      <w:r w:rsidRPr="007B51EC">
        <w:rPr>
          <w:rFonts w:ascii="Candara" w:hAnsi="Candara" w:cs="Times New Roman"/>
          <w:noProof/>
          <w:sz w:val="16"/>
        </w:rPr>
        <w:t xml:space="preserve"> 61(2):121–40.</w:t>
      </w:r>
    </w:p>
    <w:p w14:paraId="374C7B58"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Klibert, Jeffrey J., Bradley R. Sturz, Kayla LeLeux-LaBarge, Arthur Hatton, K. Bryant Smalley, and Jacob C. Warren. 2022. “Savoring Interventions Increase Positive Emotions After a Social-Evaluative.” </w:t>
      </w:r>
      <w:r w:rsidRPr="007B51EC">
        <w:rPr>
          <w:rFonts w:ascii="Candara" w:hAnsi="Candara" w:cs="Times New Roman"/>
          <w:i/>
          <w:iCs/>
          <w:noProof/>
          <w:sz w:val="16"/>
        </w:rPr>
        <w:t>Frontiers in Psychology</w:t>
      </w:r>
      <w:r w:rsidRPr="007B51EC">
        <w:rPr>
          <w:rFonts w:ascii="Candara" w:hAnsi="Candara" w:cs="Times New Roman"/>
          <w:noProof/>
          <w:sz w:val="16"/>
        </w:rPr>
        <w:t xml:space="preserve"> 13:1–13. doi: 10.3389/fpsyg.2022.791040.</w:t>
      </w:r>
    </w:p>
    <w:p w14:paraId="0C24A554"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Krejcie, Robert V, and Daryle W. Morgan. 1970. “Determining Sample Size For Research Activities.” 30:607–10.</w:t>
      </w:r>
    </w:p>
    <w:p w14:paraId="74E7507E"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Kurtz, Jaime L. 2008. “Looking to the Future to Appreciate the Present: The Benefits of Perceived Temporal Scarcity.” </w:t>
      </w:r>
      <w:r w:rsidRPr="007B51EC">
        <w:rPr>
          <w:rFonts w:ascii="Candara" w:hAnsi="Candara" w:cs="Times New Roman"/>
          <w:i/>
          <w:iCs/>
          <w:noProof/>
          <w:sz w:val="16"/>
        </w:rPr>
        <w:t>Psychological Science</w:t>
      </w:r>
      <w:r w:rsidRPr="007B51EC">
        <w:rPr>
          <w:rFonts w:ascii="Candara" w:hAnsi="Candara" w:cs="Times New Roman"/>
          <w:noProof/>
          <w:sz w:val="16"/>
        </w:rPr>
        <w:t xml:space="preserve"> 19(12):1238–41. doi: 10.1111/j.1467-9280.2008.02231.x.</w:t>
      </w:r>
    </w:p>
    <w:p w14:paraId="6907EED4"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Marpaung, Junierissa. 2018. “Pengaruh Penggunaan Gadget Dalam Kehidupan.” </w:t>
      </w:r>
      <w:r w:rsidRPr="007B51EC">
        <w:rPr>
          <w:rFonts w:ascii="Candara" w:hAnsi="Candara" w:cs="Times New Roman"/>
          <w:i/>
          <w:iCs/>
          <w:noProof/>
          <w:sz w:val="16"/>
        </w:rPr>
        <w:t>KOPASTA: Jurnal Program Studi Bimbingan Konseling</w:t>
      </w:r>
      <w:r w:rsidRPr="007B51EC">
        <w:rPr>
          <w:rFonts w:ascii="Candara" w:hAnsi="Candara" w:cs="Times New Roman"/>
          <w:noProof/>
          <w:sz w:val="16"/>
        </w:rPr>
        <w:t xml:space="preserve"> 5(2):55–64. doi: 10.33373/kop.v5i2.1521.</w:t>
      </w:r>
    </w:p>
    <w:p w14:paraId="70621AFF"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Mohebi, Siamak, Mahmoud Parham, Gholamreza Sharifirad, and Zabihollah Gharlipour. 2018. “Social Support and Self </w:t>
      </w:r>
      <w:r w:rsidRPr="007B51EC">
        <w:rPr>
          <w:rFonts w:ascii="Cambria Math" w:hAnsi="Cambria Math" w:cs="Cambria Math"/>
          <w:noProof/>
          <w:sz w:val="16"/>
        </w:rPr>
        <w:t>‑</w:t>
      </w:r>
      <w:r w:rsidRPr="007B51EC">
        <w:rPr>
          <w:rFonts w:ascii="Candara" w:hAnsi="Candara" w:cs="Times New Roman"/>
          <w:noProof/>
          <w:sz w:val="16"/>
        </w:rPr>
        <w:t xml:space="preserve"> Care Behavior Study.” (January):1–6. doi: 10.4103/jehp.jehp.</w:t>
      </w:r>
    </w:p>
    <w:p w14:paraId="7EB29C9F"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Mostafaei, Mahnaz, Alaei 1</w:t>
      </w:r>
      <w:r w:rsidRPr="007B51EC">
        <w:rPr>
          <w:rFonts w:ascii="Candara" w:hAnsi="Candara" w:cs="Times New Roman"/>
          <w:noProof/>
          <w:sz w:val="16"/>
        </w:rPr>
        <w:t xml:space="preserve">, Hedieh Hosseinnezhad, and Ph D. Candidate. 2020. “The Development and Validation of Peer Support Questionnaire (PSQ).” </w:t>
      </w:r>
      <w:r w:rsidRPr="007B51EC">
        <w:rPr>
          <w:rFonts w:ascii="Candara" w:hAnsi="Candara" w:cs="Times New Roman"/>
          <w:i/>
          <w:iCs/>
          <w:noProof/>
          <w:sz w:val="16"/>
        </w:rPr>
        <w:t>Journal of Teaching Language Skills (JTLS)</w:t>
      </w:r>
      <w:r w:rsidRPr="007B51EC">
        <w:rPr>
          <w:rFonts w:ascii="Candara" w:hAnsi="Candara" w:cs="Times New Roman"/>
          <w:noProof/>
          <w:sz w:val="16"/>
        </w:rPr>
        <w:t xml:space="preserve"> 39(2):67–109. doi: 10.22099/jtls.2021.38853.2906.</w:t>
      </w:r>
    </w:p>
    <w:p w14:paraId="252F86DC"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Nicholas L, Scheel. Adam P. Natoli. Hillary A. Langley. &amp;. Gulden et al. 2024. “Bullied Immigrant Youth, Emotional Distress, and Social Well-Being: Moderating Roles of Family and School.” </w:t>
      </w:r>
      <w:r w:rsidRPr="007B51EC">
        <w:rPr>
          <w:rFonts w:ascii="Candara" w:hAnsi="Candara" w:cs="Times New Roman"/>
          <w:i/>
          <w:iCs/>
          <w:noProof/>
          <w:sz w:val="16"/>
        </w:rPr>
        <w:t>School Psychology Review</w:t>
      </w:r>
      <w:r w:rsidRPr="007B51EC">
        <w:rPr>
          <w:rFonts w:ascii="Candara" w:hAnsi="Candara" w:cs="Times New Roman"/>
          <w:noProof/>
          <w:sz w:val="16"/>
        </w:rPr>
        <w:t>. doi: https://doi.org/10.1080/2372966X.2024.2361615.</w:t>
      </w:r>
    </w:p>
    <w:p w14:paraId="2B556C95"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Prayacita, Hardaning, and Effy Wardati Maryam. 2021. “Social Well-Being in Student Social Media Users</w:t>
      </w:r>
      <w:r w:rsidRPr="007B51EC">
        <w:rPr>
          <w:rFonts w:ascii="Arial" w:hAnsi="Arial" w:cs="Arial"/>
          <w:noProof/>
          <w:sz w:val="16"/>
        </w:rPr>
        <w:t> </w:t>
      </w:r>
      <w:r w:rsidRPr="007B51EC">
        <w:rPr>
          <w:rFonts w:ascii="Candara" w:hAnsi="Candara" w:cs="Times New Roman"/>
          <w:noProof/>
          <w:sz w:val="16"/>
        </w:rPr>
        <w:t xml:space="preserve">: Social Well-Being Pada Mahasiswa Pengguna Media Sosial.” </w:t>
      </w:r>
      <w:r w:rsidRPr="007B51EC">
        <w:rPr>
          <w:rFonts w:ascii="Candara" w:hAnsi="Candara" w:cs="Times New Roman"/>
          <w:i/>
          <w:iCs/>
          <w:noProof/>
          <w:sz w:val="16"/>
        </w:rPr>
        <w:t xml:space="preserve">Proceding of Inter-Islamic University </w:t>
      </w:r>
      <w:r w:rsidRPr="007B51EC">
        <w:rPr>
          <w:rFonts w:ascii="Candara" w:hAnsi="Candara" w:cs="Times New Roman"/>
          <w:i/>
          <w:iCs/>
          <w:noProof/>
          <w:sz w:val="16"/>
        </w:rPr>
        <w:t>Conference on Psychology</w:t>
      </w:r>
      <w:r w:rsidRPr="007B51EC">
        <w:rPr>
          <w:rFonts w:ascii="Candara" w:hAnsi="Candara" w:cs="Times New Roman"/>
          <w:noProof/>
          <w:sz w:val="16"/>
        </w:rPr>
        <w:t xml:space="preserve"> 1(1):1–4.</w:t>
      </w:r>
    </w:p>
    <w:p w14:paraId="07334E9F"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Prayitno, Hayyu Aliya, and Budi Andayani. 2023. “The Relationship Between Peer Social Support and Academic Stress Among University Students During the COVID-19 Pandemic [Hubungan Antara Dukungan Sosial Teman Sebaya Dan Stres Akademik Mahasiswa Selama Pandemi COVID-19].” </w:t>
      </w:r>
      <w:r w:rsidRPr="007B51EC">
        <w:rPr>
          <w:rFonts w:ascii="Candara" w:hAnsi="Candara" w:cs="Times New Roman"/>
          <w:i/>
          <w:iCs/>
          <w:noProof/>
          <w:sz w:val="16"/>
        </w:rPr>
        <w:t>ANIMA Indonesian Psychological Journal</w:t>
      </w:r>
      <w:r w:rsidRPr="007B51EC">
        <w:rPr>
          <w:rFonts w:ascii="Candara" w:hAnsi="Candara" w:cs="Times New Roman"/>
          <w:noProof/>
          <w:sz w:val="16"/>
        </w:rPr>
        <w:t xml:space="preserve"> 38(1):038106. doi: 10.24123/aipj.v38i1.4711.</w:t>
      </w:r>
    </w:p>
    <w:p w14:paraId="565BEFF8"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Prayogo, Wahyu. 2018. “Hubungan Dukungan Sosial Orangtua Dan Religiusitas Dengan Perilaku Agresif.” 6(4):474–81.</w:t>
      </w:r>
    </w:p>
    <w:p w14:paraId="2011DE81"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Quoidbach, Jordi, Elizabeth V. Berry, Michel Hansenne, and Moïra Mikolajczak. 2010. “Positive Emotion Regulation and Well-Being: Comparing the Impact of Eight Savoring and Dampening Strategies.” </w:t>
      </w:r>
      <w:r w:rsidRPr="007B51EC">
        <w:rPr>
          <w:rFonts w:ascii="Candara" w:hAnsi="Candara" w:cs="Times New Roman"/>
          <w:i/>
          <w:iCs/>
          <w:noProof/>
          <w:sz w:val="16"/>
        </w:rPr>
        <w:t>Personality and Individual Differences</w:t>
      </w:r>
      <w:r w:rsidRPr="007B51EC">
        <w:rPr>
          <w:rFonts w:ascii="Candara" w:hAnsi="Candara" w:cs="Times New Roman"/>
          <w:noProof/>
          <w:sz w:val="16"/>
        </w:rPr>
        <w:t xml:space="preserve"> 49(5):368–73. doi: 10.1016/j.paid.2010.03.048.</w:t>
      </w:r>
    </w:p>
    <w:p w14:paraId="6891B36F"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Quoidbach, Jordi, and James J. Gross. 2015. “Psychological Bulletin Positive Interventions</w:t>
      </w:r>
      <w:r w:rsidRPr="007B51EC">
        <w:rPr>
          <w:rFonts w:ascii="Arial" w:hAnsi="Arial" w:cs="Arial"/>
          <w:noProof/>
          <w:sz w:val="16"/>
        </w:rPr>
        <w:t> </w:t>
      </w:r>
      <w:r w:rsidRPr="007B51EC">
        <w:rPr>
          <w:rFonts w:ascii="Candara" w:hAnsi="Candara" w:cs="Times New Roman"/>
          <w:noProof/>
          <w:sz w:val="16"/>
        </w:rPr>
        <w:t>: An Emotion Regulation Perspective Positive Interventions</w:t>
      </w:r>
      <w:r w:rsidRPr="007B51EC">
        <w:rPr>
          <w:rFonts w:ascii="Arial" w:hAnsi="Arial" w:cs="Arial"/>
          <w:noProof/>
          <w:sz w:val="16"/>
        </w:rPr>
        <w:t> </w:t>
      </w:r>
      <w:r w:rsidRPr="007B51EC">
        <w:rPr>
          <w:rFonts w:ascii="Candara" w:hAnsi="Candara" w:cs="Times New Roman"/>
          <w:noProof/>
          <w:sz w:val="16"/>
        </w:rPr>
        <w:t xml:space="preserve">: An Emotion Regulation Perspective.” </w:t>
      </w:r>
      <w:r w:rsidRPr="007B51EC">
        <w:rPr>
          <w:rFonts w:ascii="Candara" w:hAnsi="Candara" w:cs="Times New Roman"/>
          <w:i/>
          <w:iCs/>
          <w:noProof/>
          <w:sz w:val="16"/>
        </w:rPr>
        <w:t>Psychological Bulletin</w:t>
      </w:r>
      <w:r w:rsidRPr="007B51EC">
        <w:rPr>
          <w:rFonts w:ascii="Candara" w:hAnsi="Candara" w:cs="Times New Roman"/>
          <w:noProof/>
          <w:sz w:val="16"/>
        </w:rPr>
        <w:t xml:space="preserve"> 141(2):25–27.</w:t>
      </w:r>
    </w:p>
    <w:p w14:paraId="389D887C"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Rahma, Ulifa, Karina Putri Pramitadewi, Faizah Faizah, and Yuliezar Perwiradara. 2020. “Pengaruh Persepsi Dukungan Sosial Terhadap Kesejahteraan Di Sekolah Siswa SMA.” </w:t>
      </w:r>
      <w:r w:rsidRPr="007B51EC">
        <w:rPr>
          <w:rFonts w:ascii="Candara" w:hAnsi="Candara" w:cs="Times New Roman"/>
          <w:i/>
          <w:iCs/>
          <w:noProof/>
          <w:sz w:val="16"/>
        </w:rPr>
        <w:t>Jurnal Psikologi Ulayat</w:t>
      </w:r>
      <w:r w:rsidRPr="007B51EC">
        <w:rPr>
          <w:rFonts w:ascii="Candara" w:hAnsi="Candara" w:cs="Times New Roman"/>
          <w:noProof/>
          <w:sz w:val="16"/>
        </w:rPr>
        <w:t xml:space="preserve"> 7(2):163–76. doi: 10.24854/jpu106.</w:t>
      </w:r>
    </w:p>
    <w:p w14:paraId="0E89CAC0"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Ramadani, Nur Fitri, and Sitti Murdiana. 2023. “Self-Compassion Training Can Reduce Self Injury in Adolescents , Is It Effective</w:t>
      </w:r>
      <w:r w:rsidRPr="007B51EC">
        <w:rPr>
          <w:rFonts w:ascii="Arial" w:hAnsi="Arial" w:cs="Arial"/>
          <w:noProof/>
          <w:sz w:val="16"/>
        </w:rPr>
        <w:t> </w:t>
      </w:r>
      <w:r w:rsidRPr="007B51EC">
        <w:rPr>
          <w:rFonts w:ascii="Candara" w:hAnsi="Candara" w:cs="Times New Roman"/>
          <w:noProof/>
          <w:sz w:val="16"/>
        </w:rPr>
        <w:t>? Pelatihan Self-Compassion Dapat Menurunkan Self Injury Pada Remaja , Apakah Efektif</w:t>
      </w:r>
      <w:r w:rsidRPr="007B51EC">
        <w:rPr>
          <w:rFonts w:ascii="Arial" w:hAnsi="Arial" w:cs="Arial"/>
          <w:noProof/>
          <w:sz w:val="16"/>
        </w:rPr>
        <w:t> </w:t>
      </w:r>
      <w:r w:rsidRPr="007B51EC">
        <w:rPr>
          <w:rFonts w:ascii="Candara" w:hAnsi="Candara" w:cs="Times New Roman"/>
          <w:noProof/>
          <w:sz w:val="16"/>
        </w:rPr>
        <w:t>?” 11(3):401–6.</w:t>
      </w:r>
    </w:p>
    <w:p w14:paraId="5733E916"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Ramsey, Meagan, and Amy Gentzler. 2014. “Age Differences in Subjective Well-Being across Adulthood: The Roles of Savoring and Future Time Perspective.” </w:t>
      </w:r>
      <w:r w:rsidRPr="007B51EC">
        <w:rPr>
          <w:rFonts w:ascii="Candara" w:hAnsi="Candara" w:cs="Times New Roman"/>
          <w:i/>
          <w:iCs/>
          <w:noProof/>
          <w:sz w:val="16"/>
        </w:rPr>
        <w:t>International Journal of Aging and Human Development</w:t>
      </w:r>
      <w:r w:rsidRPr="007B51EC">
        <w:rPr>
          <w:rFonts w:ascii="Candara" w:hAnsi="Candara" w:cs="Times New Roman"/>
          <w:noProof/>
          <w:sz w:val="16"/>
        </w:rPr>
        <w:t xml:space="preserve"> 78(1):3–22. doi: 10.2190/AG.78.1.b.</w:t>
      </w:r>
    </w:p>
    <w:p w14:paraId="7D81D9D0"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Rani, Sarita, and Taruna Gera. 2023. “Savoring as a Predictor of Happiness and Positive Affect among Adolescents.” </w:t>
      </w:r>
      <w:r w:rsidRPr="007B51EC">
        <w:rPr>
          <w:rFonts w:ascii="Candara" w:hAnsi="Candara" w:cs="Times New Roman"/>
          <w:i/>
          <w:iCs/>
          <w:noProof/>
          <w:sz w:val="16"/>
        </w:rPr>
        <w:t>Mind and Society</w:t>
      </w:r>
      <w:r w:rsidRPr="007B51EC">
        <w:rPr>
          <w:rFonts w:ascii="Candara" w:hAnsi="Candara" w:cs="Times New Roman"/>
          <w:noProof/>
          <w:sz w:val="16"/>
        </w:rPr>
        <w:t xml:space="preserve"> 12(02):44–49. doi: 10.56011/mind-mri-122-20235.</w:t>
      </w:r>
    </w:p>
    <w:p w14:paraId="798E052F"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Salces-Cubero, Isabel María, Encarnación Ramírez-Fernández, and Ana Raquel Ortega-Martínez. 2019. “Strengths in Older Adults: Differential Effect of Savoring, Gratitude and Optimism on Well-Being.” </w:t>
      </w:r>
      <w:r w:rsidRPr="007B51EC">
        <w:rPr>
          <w:rFonts w:ascii="Candara" w:hAnsi="Candara" w:cs="Times New Roman"/>
          <w:i/>
          <w:iCs/>
          <w:noProof/>
          <w:sz w:val="16"/>
        </w:rPr>
        <w:t>Aging and Mental Health</w:t>
      </w:r>
      <w:r w:rsidRPr="007B51EC">
        <w:rPr>
          <w:rFonts w:ascii="Candara" w:hAnsi="Candara" w:cs="Times New Roman"/>
          <w:noProof/>
          <w:sz w:val="16"/>
        </w:rPr>
        <w:t xml:space="preserve"> 23(8):1017–24. doi: 10.1080/13607863.2018.1471585.</w:t>
      </w:r>
    </w:p>
    <w:p w14:paraId="5869C965"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Salifu Yendork, J., and Nceba Z. Somhlaba. 2014. “Stress, Coping and Quality of Life: An Exploratory Study of the Psychological Well-Being of Ghanaian Orphans Placed in Orphanages.” </w:t>
      </w:r>
      <w:r w:rsidRPr="007B51EC">
        <w:rPr>
          <w:rFonts w:ascii="Candara" w:hAnsi="Candara" w:cs="Times New Roman"/>
          <w:i/>
          <w:iCs/>
          <w:noProof/>
          <w:sz w:val="16"/>
        </w:rPr>
        <w:t>Children and Youth Services Review</w:t>
      </w:r>
      <w:r w:rsidRPr="007B51EC">
        <w:rPr>
          <w:rFonts w:ascii="Candara" w:hAnsi="Candara" w:cs="Times New Roman"/>
          <w:noProof/>
          <w:sz w:val="16"/>
        </w:rPr>
        <w:t xml:space="preserve"> 46:28–37. doi: 10.1016/j.childyouth.2014.07.025.</w:t>
      </w:r>
    </w:p>
    <w:p w14:paraId="6D600221"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Setyawan, Imam. 2010. “Peran Kemampuan Empati Pada Efikasi Diri Mahasiswa Peserta Kuliah Kerja Nyata PPM POSDAYA.” </w:t>
      </w:r>
      <w:r w:rsidRPr="007B51EC">
        <w:rPr>
          <w:rFonts w:ascii="Candara" w:hAnsi="Candara" w:cs="Times New Roman"/>
          <w:i/>
          <w:iCs/>
          <w:noProof/>
          <w:sz w:val="16"/>
        </w:rPr>
        <w:t>Proceeding Konferensi Nasional II Ikatan Psikologi Klinis – Himpsi</w:t>
      </w:r>
      <w:r w:rsidRPr="007B51EC">
        <w:rPr>
          <w:rFonts w:ascii="Candara" w:hAnsi="Candara" w:cs="Times New Roman"/>
          <w:noProof/>
          <w:sz w:val="16"/>
        </w:rPr>
        <w:t xml:space="preserve"> 296–300.</w:t>
      </w:r>
    </w:p>
    <w:p w14:paraId="173E8F0C"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Shapiro, Adam, and Corey Lee M. Keyes. 2008. “Marital Status and Social Well-Being: Are the Married Always Better Off?” </w:t>
      </w:r>
      <w:r w:rsidRPr="007B51EC">
        <w:rPr>
          <w:rFonts w:ascii="Candara" w:hAnsi="Candara" w:cs="Times New Roman"/>
          <w:i/>
          <w:iCs/>
          <w:noProof/>
          <w:sz w:val="16"/>
        </w:rPr>
        <w:t>Social Indicators Research</w:t>
      </w:r>
      <w:r w:rsidRPr="007B51EC">
        <w:rPr>
          <w:rFonts w:ascii="Candara" w:hAnsi="Candara" w:cs="Times New Roman"/>
          <w:noProof/>
          <w:sz w:val="16"/>
        </w:rPr>
        <w:t xml:space="preserve"> 88(2):329–46. doi: 10.1007/s11205-007-9194-3.</w:t>
      </w:r>
    </w:p>
    <w:p w14:paraId="560277EE"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Sigfusdottir, Inga Dora, Alfgeir Logi Kristjansson, Thorolfur Thorlindsson, and John P. Allegrante. 2017. “Stress and Adolescent Well-Being: The Need for an Interdisciplinary Framework.” </w:t>
      </w:r>
      <w:r w:rsidRPr="007B51EC">
        <w:rPr>
          <w:rFonts w:ascii="Candara" w:hAnsi="Candara" w:cs="Times New Roman"/>
          <w:i/>
          <w:iCs/>
          <w:noProof/>
          <w:sz w:val="16"/>
        </w:rPr>
        <w:t>Health Promotion International</w:t>
      </w:r>
      <w:r w:rsidRPr="007B51EC">
        <w:rPr>
          <w:rFonts w:ascii="Candara" w:hAnsi="Candara" w:cs="Times New Roman"/>
          <w:noProof/>
          <w:sz w:val="16"/>
        </w:rPr>
        <w:t xml:space="preserve"> 32(6):1081–90. doi: 10.1093/heapro/daw038.</w:t>
      </w:r>
    </w:p>
    <w:p w14:paraId="37BFC49F"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Sinnott, Sinead M., and Crystal L. Park. 2019. “Social Well-Being in Adolescent and Young Adult Cancer Survivors.” </w:t>
      </w:r>
      <w:r w:rsidRPr="007B51EC">
        <w:rPr>
          <w:rFonts w:ascii="Candara" w:hAnsi="Candara" w:cs="Times New Roman"/>
          <w:i/>
          <w:iCs/>
          <w:noProof/>
          <w:sz w:val="16"/>
        </w:rPr>
        <w:t>Journal of Adolescent and Young Adult Oncology</w:t>
      </w:r>
      <w:r w:rsidRPr="007B51EC">
        <w:rPr>
          <w:rFonts w:ascii="Candara" w:hAnsi="Candara" w:cs="Times New Roman"/>
          <w:noProof/>
          <w:sz w:val="16"/>
        </w:rPr>
        <w:t xml:space="preserve"> 8(1):32–39. doi: 10.1089/jayao.2018.0043.</w:t>
      </w:r>
    </w:p>
    <w:p w14:paraId="52E6D576"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Smith, Jennifer L. 2016. “Manfaat Dari Menikmati Hidup</w:t>
      </w:r>
      <w:r w:rsidRPr="007B51EC">
        <w:rPr>
          <w:rFonts w:ascii="Arial" w:hAnsi="Arial" w:cs="Arial"/>
          <w:noProof/>
          <w:sz w:val="16"/>
        </w:rPr>
        <w:t> </w:t>
      </w:r>
      <w:r w:rsidRPr="007B51EC">
        <w:rPr>
          <w:rFonts w:ascii="Candara" w:hAnsi="Candara" w:cs="Times New Roman"/>
          <w:noProof/>
          <w:sz w:val="16"/>
        </w:rPr>
        <w:t>: Menikmati Sebagai Moderator Hubungan Antara.”</w:t>
      </w:r>
    </w:p>
    <w:p w14:paraId="7C97F791"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Smith, Jennifer L., and Fred B. Bryant. 2016. “The Benefits of Savoring Life</w:t>
      </w:r>
      <w:r w:rsidRPr="007B51EC">
        <w:rPr>
          <w:rFonts w:ascii="Arial" w:hAnsi="Arial" w:cs="Arial"/>
          <w:noProof/>
          <w:sz w:val="16"/>
        </w:rPr>
        <w:t> </w:t>
      </w:r>
      <w:r w:rsidRPr="007B51EC">
        <w:rPr>
          <w:rFonts w:ascii="Candara" w:hAnsi="Candara" w:cs="Times New Roman"/>
          <w:noProof/>
          <w:sz w:val="16"/>
        </w:rPr>
        <w:t>: Savoring as a Moderator of the Relationship Between Health and Life Satisfaction in Older Adults.” doi: 10.1177/0091415016669146.</w:t>
      </w:r>
    </w:p>
    <w:p w14:paraId="6D015E7F"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lastRenderedPageBreak/>
        <w:t xml:space="preserve">Sulistiowati, Ni Made Dian et al. 2018. “Description of Social Support Toward Emotional , Psychology and Social Wellbeing Among Adolescent ’ S Mental Health.” </w:t>
      </w:r>
      <w:r w:rsidRPr="007B51EC">
        <w:rPr>
          <w:rFonts w:ascii="Candara" w:hAnsi="Candara" w:cs="Times New Roman"/>
          <w:i/>
          <w:iCs/>
          <w:noProof/>
          <w:sz w:val="16"/>
        </w:rPr>
        <w:t>Jurnal Ilmiah Permas: Jurnal Ilmiah STIKES Kendal</w:t>
      </w:r>
      <w:r w:rsidRPr="007B51EC">
        <w:rPr>
          <w:rFonts w:ascii="Candara" w:hAnsi="Candara" w:cs="Times New Roman"/>
          <w:noProof/>
          <w:sz w:val="16"/>
        </w:rPr>
        <w:t xml:space="preserve"> 8(2):116–22.</w:t>
      </w:r>
    </w:p>
    <w:p w14:paraId="689332D5"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Tedjasuksmana, Christianto. 2022. “Hubungan Antara Konsep Diri Dengan Wellbeing Pada Remaja Akhir Di Surabaya.” </w:t>
      </w:r>
      <w:r w:rsidRPr="007B51EC">
        <w:rPr>
          <w:rFonts w:ascii="Candara" w:hAnsi="Candara" w:cs="Times New Roman"/>
          <w:i/>
          <w:iCs/>
          <w:noProof/>
          <w:sz w:val="16"/>
        </w:rPr>
        <w:t>Experientia: Jurnal Psikologi Indonesia</w:t>
      </w:r>
      <w:r w:rsidRPr="007B51EC">
        <w:rPr>
          <w:rFonts w:ascii="Candara" w:hAnsi="Candara" w:cs="Times New Roman"/>
          <w:noProof/>
          <w:sz w:val="16"/>
        </w:rPr>
        <w:t xml:space="preserve"> 10(2):121–32. doi: 10.33508/exp.v10i2.2946.</w:t>
      </w:r>
    </w:p>
    <w:p w14:paraId="72120997"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Tri Kusuma, Cita, and Ananta Yudiarso. 2022. “Efektivitas Savoring Intervention Terhadap Well-Being: Studi Meta Analisis.” </w:t>
      </w:r>
      <w:r w:rsidRPr="007B51EC">
        <w:rPr>
          <w:rFonts w:ascii="Candara" w:hAnsi="Candara" w:cs="Times New Roman"/>
          <w:i/>
          <w:iCs/>
          <w:noProof/>
          <w:sz w:val="16"/>
        </w:rPr>
        <w:t>JIP (Jurnal Intervensi Psikologi)</w:t>
      </w:r>
      <w:r w:rsidRPr="007B51EC">
        <w:rPr>
          <w:rFonts w:ascii="Candara" w:hAnsi="Candara" w:cs="Times New Roman"/>
          <w:noProof/>
          <w:sz w:val="16"/>
        </w:rPr>
        <w:t xml:space="preserve"> 14(2):95–106. doi: 10.20885/intervensipsikologi.vol14.iss2.art2.</w:t>
      </w:r>
    </w:p>
    <w:p w14:paraId="3906DB7E"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Troop-Gordon, Wendy. 2017. “Peer Victimization in Adolescence: The Nature, Progression, and Consequences of Being Bullied within a Developmental Context.” </w:t>
      </w:r>
      <w:r w:rsidRPr="007B51EC">
        <w:rPr>
          <w:rFonts w:ascii="Candara" w:hAnsi="Candara" w:cs="Times New Roman"/>
          <w:i/>
          <w:iCs/>
          <w:noProof/>
          <w:sz w:val="16"/>
        </w:rPr>
        <w:t>Journal of Adolescence</w:t>
      </w:r>
      <w:r w:rsidRPr="007B51EC">
        <w:rPr>
          <w:rFonts w:ascii="Candara" w:hAnsi="Candara" w:cs="Times New Roman"/>
          <w:noProof/>
          <w:sz w:val="16"/>
        </w:rPr>
        <w:t xml:space="preserve"> 55:116–28. doi: 10.1016/j.adolescence.2016.12.012.</w:t>
      </w:r>
    </w:p>
    <w:p w14:paraId="571F5181"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Tugade, Michele M., Barbara L. Fredrickson, and Lisa Feldman Barrett. 2004. “Psychological Resilience and Positive Emotional Granularity: Examining the Benefits of Positive Emotions on Coping and Health NIH Public Access.” </w:t>
      </w:r>
      <w:r w:rsidRPr="007B51EC">
        <w:rPr>
          <w:rFonts w:ascii="Candara" w:hAnsi="Candara" w:cs="Times New Roman"/>
          <w:i/>
          <w:iCs/>
          <w:noProof/>
          <w:sz w:val="16"/>
        </w:rPr>
        <w:t>J Pers</w:t>
      </w:r>
      <w:r w:rsidRPr="007B51EC">
        <w:rPr>
          <w:rFonts w:ascii="Candara" w:hAnsi="Candara" w:cs="Times New Roman"/>
          <w:noProof/>
          <w:sz w:val="16"/>
        </w:rPr>
        <w:t xml:space="preserve"> 72(6):1161–90.</w:t>
      </w:r>
    </w:p>
    <w:p w14:paraId="6786AECF"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Wills, T. A., &amp; Shinar, O. 2000. </w:t>
      </w:r>
      <w:r w:rsidRPr="007B51EC">
        <w:rPr>
          <w:rFonts w:ascii="Candara" w:hAnsi="Candara" w:cs="Times New Roman"/>
          <w:i/>
          <w:iCs/>
          <w:noProof/>
          <w:sz w:val="16"/>
        </w:rPr>
        <w:t>Measuring Perceived and Received Social Support. In S. Cohen, L. G. Underwood, &amp; B. H. Gottlieb (Eds.)</w:t>
      </w:r>
      <w:r w:rsidRPr="007B51EC">
        <w:rPr>
          <w:rFonts w:ascii="Candara" w:hAnsi="Candara" w:cs="Times New Roman"/>
          <w:noProof/>
          <w:sz w:val="16"/>
        </w:rPr>
        <w:t>. Oxford University Press.</w:t>
      </w:r>
    </w:p>
    <w:p w14:paraId="34ED1916"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Wood, Joanne V., Sara A. Heimpel, and John L. Michela. 2003. “Savoring Versus Dampening: Self-Esteem Differences in Regulating Positive Affect.” </w:t>
      </w:r>
      <w:r w:rsidRPr="007B51EC">
        <w:rPr>
          <w:rFonts w:ascii="Candara" w:hAnsi="Candara" w:cs="Times New Roman"/>
          <w:i/>
          <w:iCs/>
          <w:noProof/>
          <w:sz w:val="16"/>
        </w:rPr>
        <w:t>Journal of Personality and Social Psychology</w:t>
      </w:r>
      <w:r w:rsidRPr="007B51EC">
        <w:rPr>
          <w:rFonts w:ascii="Candara" w:hAnsi="Candara" w:cs="Times New Roman"/>
          <w:noProof/>
          <w:sz w:val="16"/>
        </w:rPr>
        <w:t xml:space="preserve"> 85(3):566–80. doi: 10.1037/0022-3514.85.3.566.</w:t>
      </w:r>
    </w:p>
    <w:p w14:paraId="06E82B53"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cs="Times New Roman"/>
          <w:noProof/>
          <w:sz w:val="16"/>
        </w:rPr>
      </w:pPr>
      <w:r w:rsidRPr="007B51EC">
        <w:rPr>
          <w:rFonts w:ascii="Candara" w:hAnsi="Candara" w:cs="Times New Roman"/>
          <w:noProof/>
          <w:sz w:val="16"/>
        </w:rPr>
        <w:t xml:space="preserve">Yavuzer, Yasemin, Zeynep Karatas, Aydin Civilidag, and Rezzan Gundogdu. 2014. “The Role of Peer Pressure, Automatic Thoughts and Self-Esteem on Adolescent Aggression.” </w:t>
      </w:r>
      <w:r w:rsidRPr="007B51EC">
        <w:rPr>
          <w:rFonts w:ascii="Candara" w:hAnsi="Candara" w:cs="Times New Roman"/>
          <w:i/>
          <w:iCs/>
          <w:noProof/>
          <w:sz w:val="16"/>
        </w:rPr>
        <w:t>Eurasian Journal of Educational Research</w:t>
      </w:r>
      <w:r w:rsidRPr="007B51EC">
        <w:rPr>
          <w:rFonts w:ascii="Candara" w:hAnsi="Candara" w:cs="Times New Roman"/>
          <w:noProof/>
          <w:sz w:val="16"/>
        </w:rPr>
        <w:t xml:space="preserve"> (54):61–78. doi: 10.14689/ejer.2014.54.4.</w:t>
      </w:r>
    </w:p>
    <w:p w14:paraId="13D2C9D3" w14:textId="77777777" w:rsidR="007B51EC" w:rsidRPr="007B51EC" w:rsidRDefault="007B51EC" w:rsidP="00595E4C">
      <w:pPr>
        <w:widowControl w:val="0"/>
        <w:autoSpaceDE w:val="0"/>
        <w:autoSpaceDN w:val="0"/>
        <w:adjustRightInd w:val="0"/>
        <w:spacing w:line="240" w:lineRule="auto"/>
        <w:ind w:left="480" w:hanging="480"/>
        <w:jc w:val="both"/>
        <w:rPr>
          <w:rFonts w:ascii="Candara" w:hAnsi="Candara"/>
          <w:noProof/>
          <w:sz w:val="16"/>
        </w:rPr>
      </w:pPr>
      <w:r w:rsidRPr="007B51EC">
        <w:rPr>
          <w:rFonts w:ascii="Candara" w:hAnsi="Candara" w:cs="Times New Roman"/>
          <w:noProof/>
          <w:sz w:val="16"/>
        </w:rPr>
        <w:t xml:space="preserve">Yu, Yanghang, Yuanyuan Zhao, Dongyan Li, Jingqiu Zhang, and Jiewei Li. 2021. “The Relationship Between Big Five Personality and Social Well-Being of Chinese Residents: The Mediating Effect of Social Support.” </w:t>
      </w:r>
      <w:r w:rsidRPr="007B51EC">
        <w:rPr>
          <w:rFonts w:ascii="Candara" w:hAnsi="Candara" w:cs="Times New Roman"/>
          <w:i/>
          <w:iCs/>
          <w:noProof/>
          <w:sz w:val="16"/>
        </w:rPr>
        <w:t>Frontiers in Psychology</w:t>
      </w:r>
      <w:r w:rsidRPr="007B51EC">
        <w:rPr>
          <w:rFonts w:ascii="Candara" w:hAnsi="Candara" w:cs="Times New Roman"/>
          <w:noProof/>
          <w:sz w:val="16"/>
        </w:rPr>
        <w:t xml:space="preserve"> 11(March). doi: 10.3389/fpsyg.2020.613659.</w:t>
      </w:r>
    </w:p>
    <w:p w14:paraId="2BE9A98E" w14:textId="5BCC7327" w:rsidR="005C2248" w:rsidRDefault="005C2248" w:rsidP="00595E4C">
      <w:pPr>
        <w:spacing w:after="0"/>
        <w:jc w:val="both"/>
        <w:rPr>
          <w:rFonts w:ascii="Candara" w:hAnsi="Candara"/>
        </w:rPr>
      </w:pPr>
      <w:r w:rsidRPr="008067A0">
        <w:rPr>
          <w:rFonts w:ascii="Candara" w:eastAsia="Candara" w:hAnsi="Candara" w:cs="Candara"/>
          <w:color w:val="000000"/>
          <w:sz w:val="24"/>
          <w:szCs w:val="24"/>
        </w:rPr>
        <w:fldChar w:fldCharType="end"/>
      </w:r>
    </w:p>
    <w:p w14:paraId="157990C3" w14:textId="77777777" w:rsidR="005C2248" w:rsidRPr="00FE2493" w:rsidRDefault="005C2248" w:rsidP="00FE2493">
      <w:pPr>
        <w:spacing w:after="0"/>
        <w:rPr>
          <w:rFonts w:ascii="Candara" w:hAnsi="Candara"/>
        </w:rPr>
      </w:pPr>
    </w:p>
    <w:p w14:paraId="07DB9ED6" w14:textId="77777777" w:rsidR="00934AC7" w:rsidRPr="00FE2493" w:rsidRDefault="00934AC7" w:rsidP="001C0FDA">
      <w:pPr>
        <w:pStyle w:val="References"/>
        <w:rPr>
          <w:sz w:val="16"/>
          <w:szCs w:val="16"/>
        </w:rPr>
        <w:sectPr w:rsidR="00934AC7" w:rsidRPr="00FE2493" w:rsidSect="00FE2493">
          <w:headerReference w:type="default" r:id="rId14"/>
          <w:footerReference w:type="default" r:id="rId15"/>
          <w:type w:val="continuous"/>
          <w:pgSz w:w="11906" w:h="16838" w:code="9"/>
          <w:pgMar w:top="567" w:right="567" w:bottom="567" w:left="851" w:header="720" w:footer="720" w:gutter="0"/>
          <w:cols w:num="2" w:space="284"/>
          <w:docGrid w:linePitch="360"/>
        </w:sectPr>
      </w:pPr>
    </w:p>
    <w:p w14:paraId="06728D57" w14:textId="73A4FDCC" w:rsidR="000A032A" w:rsidRDefault="000A032A" w:rsidP="000A032A">
      <w:pPr>
        <w:tabs>
          <w:tab w:val="left" w:pos="7350"/>
        </w:tabs>
        <w:rPr>
          <w:rFonts w:ascii="Candara" w:hAnsi="Candara"/>
        </w:rPr>
      </w:pPr>
      <w:r w:rsidRPr="00FE2493">
        <w:rPr>
          <w:rFonts w:ascii="Candara" w:hAnsi="Candara"/>
        </w:rPr>
        <w:tab/>
      </w:r>
    </w:p>
    <w:p w14:paraId="034A03F6" w14:textId="77777777" w:rsidR="00682408" w:rsidRPr="00682408" w:rsidRDefault="00682408" w:rsidP="00682408">
      <w:pPr>
        <w:rPr>
          <w:rFonts w:ascii="Candara" w:hAnsi="Candara"/>
        </w:rPr>
      </w:pPr>
    </w:p>
    <w:p w14:paraId="4AE0EDBD" w14:textId="77777777" w:rsidR="00682408" w:rsidRDefault="00682408" w:rsidP="00682408">
      <w:pPr>
        <w:rPr>
          <w:rFonts w:ascii="Candara" w:hAnsi="Candara"/>
        </w:rPr>
      </w:pPr>
    </w:p>
    <w:p w14:paraId="412A7CF1" w14:textId="1607FA54" w:rsidR="00682408" w:rsidRPr="00682408" w:rsidRDefault="00682408" w:rsidP="00682408">
      <w:pPr>
        <w:tabs>
          <w:tab w:val="left" w:pos="3449"/>
        </w:tabs>
        <w:rPr>
          <w:rFonts w:ascii="Candara" w:hAnsi="Candara"/>
        </w:rPr>
      </w:pPr>
      <w:r>
        <w:rPr>
          <w:rFonts w:ascii="Candara" w:hAnsi="Candara"/>
        </w:rPr>
        <w:tab/>
      </w:r>
    </w:p>
    <w:sectPr w:rsidR="00682408" w:rsidRPr="00682408" w:rsidSect="00FE2493">
      <w:type w:val="continuous"/>
      <w:pgSz w:w="11906" w:h="16838" w:code="9"/>
      <w:pgMar w:top="567" w:right="567"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48F3A" w14:textId="77777777" w:rsidR="00C442B4" w:rsidRDefault="00C442B4" w:rsidP="004A2BD0">
      <w:pPr>
        <w:spacing w:after="0" w:line="240" w:lineRule="auto"/>
      </w:pPr>
      <w:r>
        <w:separator/>
      </w:r>
    </w:p>
  </w:endnote>
  <w:endnote w:type="continuationSeparator" w:id="0">
    <w:p w14:paraId="48BBBFB3" w14:textId="77777777" w:rsidR="00C442B4" w:rsidRDefault="00C442B4" w:rsidP="004A2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1"/>
      <w:tblW w:w="5000" w:type="pct"/>
      <w:tblBorders>
        <w:top w:val="thickThinSmallGap"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3"/>
      <w:gridCol w:w="1273"/>
      <w:gridCol w:w="6672"/>
    </w:tblGrid>
    <w:tr w:rsidR="004D1C2F" w:rsidRPr="00FE2493" w14:paraId="01ED68B4" w14:textId="77777777" w:rsidTr="001C0FDA">
      <w:tc>
        <w:tcPr>
          <w:tcW w:w="1212" w:type="pct"/>
          <w:vAlign w:val="center"/>
        </w:tcPr>
        <w:p w14:paraId="32710DC3" w14:textId="60C82C5D" w:rsidR="004D1C2F" w:rsidRPr="00FE2493" w:rsidRDefault="000A032A" w:rsidP="001C0FDA">
          <w:pPr>
            <w:tabs>
              <w:tab w:val="center" w:pos="4320"/>
              <w:tab w:val="right" w:pos="8640"/>
            </w:tabs>
            <w:rPr>
              <w:rFonts w:ascii="Candara" w:hAnsi="Candara" w:cs="Segoe UI"/>
              <w:sz w:val="16"/>
              <w:szCs w:val="16"/>
            </w:rPr>
          </w:pPr>
          <w:r w:rsidRPr="00FE2493">
            <w:rPr>
              <w:rFonts w:ascii="Candara" w:hAnsi="Candara" w:cs="Segoe UI"/>
              <w:sz w:val="16"/>
              <w:szCs w:val="16"/>
            </w:rPr>
            <w:fldChar w:fldCharType="begin"/>
          </w:r>
          <w:r w:rsidRPr="00FE2493">
            <w:rPr>
              <w:rFonts w:ascii="Candara" w:hAnsi="Candara" w:cs="Segoe UI"/>
              <w:sz w:val="16"/>
              <w:szCs w:val="16"/>
            </w:rPr>
            <w:instrText xml:space="preserve"> PAGE  \* Arabic  \* MERGEFORMAT </w:instrText>
          </w:r>
          <w:r w:rsidRPr="00FE2493">
            <w:rPr>
              <w:rFonts w:ascii="Candara" w:hAnsi="Candara" w:cs="Segoe UI"/>
              <w:sz w:val="16"/>
              <w:szCs w:val="16"/>
            </w:rPr>
            <w:fldChar w:fldCharType="separate"/>
          </w:r>
          <w:r w:rsidRPr="00FE2493">
            <w:rPr>
              <w:rFonts w:ascii="Candara" w:hAnsi="Candara" w:cs="Segoe UI"/>
              <w:noProof/>
              <w:sz w:val="16"/>
              <w:szCs w:val="16"/>
            </w:rPr>
            <w:t>1</w:t>
          </w:r>
          <w:r w:rsidRPr="00FE2493">
            <w:rPr>
              <w:rFonts w:ascii="Candara" w:hAnsi="Candara" w:cs="Segoe UI"/>
              <w:sz w:val="16"/>
              <w:szCs w:val="16"/>
            </w:rPr>
            <w:fldChar w:fldCharType="end"/>
          </w:r>
        </w:p>
      </w:tc>
      <w:tc>
        <w:tcPr>
          <w:tcW w:w="607" w:type="pct"/>
        </w:tcPr>
        <w:p w14:paraId="3262F2B3" w14:textId="1005328D" w:rsidR="004D1C2F" w:rsidRPr="00FE2493" w:rsidRDefault="004D1C2F" w:rsidP="001B0BF8">
          <w:pPr>
            <w:tabs>
              <w:tab w:val="center" w:pos="4320"/>
              <w:tab w:val="right" w:pos="8640"/>
            </w:tabs>
            <w:ind w:left="-112"/>
            <w:rPr>
              <w:rFonts w:ascii="Candara" w:hAnsi="Candara" w:cs="Segoe UI"/>
              <w:sz w:val="16"/>
              <w:szCs w:val="16"/>
            </w:rPr>
          </w:pPr>
        </w:p>
      </w:tc>
      <w:tc>
        <w:tcPr>
          <w:tcW w:w="3181" w:type="pct"/>
        </w:tcPr>
        <w:p w14:paraId="19057886" w14:textId="0C266E0B" w:rsidR="004D1C2F" w:rsidRPr="00FE2493" w:rsidRDefault="006A6313" w:rsidP="000A032A">
          <w:pPr>
            <w:tabs>
              <w:tab w:val="center" w:pos="4320"/>
              <w:tab w:val="right" w:pos="8640"/>
            </w:tabs>
            <w:ind w:right="-113"/>
            <w:jc w:val="right"/>
            <w:rPr>
              <w:rFonts w:ascii="Candara" w:hAnsi="Candara" w:cs="Segoe UI"/>
              <w:sz w:val="16"/>
              <w:szCs w:val="16"/>
            </w:rPr>
          </w:pPr>
          <w:r w:rsidRPr="00FE2493">
            <w:rPr>
              <w:rFonts w:ascii="Candara" w:hAnsi="Candara" w:cs="Segoe UI"/>
              <w:sz w:val="16"/>
              <w:szCs w:val="16"/>
            </w:rPr>
            <w:t>PSIKOBORNEO</w:t>
          </w:r>
          <w:r w:rsidR="000A032A" w:rsidRPr="00FE2493">
            <w:rPr>
              <w:rFonts w:ascii="Candara" w:hAnsi="Candara" w:cs="Segoe UI"/>
              <w:sz w:val="16"/>
              <w:szCs w:val="16"/>
            </w:rPr>
            <w:t xml:space="preserve">: Jurnal </w:t>
          </w:r>
          <w:r w:rsidRPr="00FE2493">
            <w:rPr>
              <w:rFonts w:ascii="Candara" w:hAnsi="Candara" w:cs="Segoe UI"/>
              <w:sz w:val="16"/>
              <w:szCs w:val="16"/>
            </w:rPr>
            <w:t xml:space="preserve">Ilmiah </w:t>
          </w:r>
          <w:r w:rsidR="000A032A" w:rsidRPr="00FE2493">
            <w:rPr>
              <w:rFonts w:ascii="Candara" w:hAnsi="Candara" w:cs="Segoe UI"/>
              <w:sz w:val="16"/>
              <w:szCs w:val="16"/>
            </w:rPr>
            <w:t>Psikologi</w:t>
          </w:r>
        </w:p>
      </w:tc>
    </w:tr>
  </w:tbl>
  <w:p w14:paraId="5001D968" w14:textId="77777777" w:rsidR="004D1C2F" w:rsidRPr="00FE2493" w:rsidRDefault="004D1C2F" w:rsidP="001B0BF8">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thickThinSmallGap" w:sz="24" w:space="0" w:color="auto"/>
      </w:tblBorders>
      <w:tblLook w:val="04A0" w:firstRow="1" w:lastRow="0" w:firstColumn="1" w:lastColumn="0" w:noHBand="0" w:noVBand="1"/>
    </w:tblPr>
    <w:tblGrid>
      <w:gridCol w:w="9924"/>
      <w:gridCol w:w="564"/>
    </w:tblGrid>
    <w:tr w:rsidR="00FE2493" w:rsidRPr="00650FB5" w14:paraId="17F7B735" w14:textId="77777777" w:rsidTr="00B60236">
      <w:trPr>
        <w:trHeight w:val="207"/>
      </w:trPr>
      <w:tc>
        <w:tcPr>
          <w:tcW w:w="4731" w:type="pct"/>
        </w:tcPr>
        <w:p w14:paraId="74CC3B05" w14:textId="77777777" w:rsidR="00FE2493" w:rsidRPr="00650FB5" w:rsidRDefault="00FE2493" w:rsidP="00FE2493">
          <w:pPr>
            <w:tabs>
              <w:tab w:val="center" w:pos="4320"/>
              <w:tab w:val="right" w:pos="8640"/>
            </w:tabs>
            <w:spacing w:after="0" w:line="240" w:lineRule="auto"/>
            <w:ind w:left="-113"/>
            <w:jc w:val="both"/>
            <w:rPr>
              <w:rFonts w:ascii="Candara" w:eastAsia="Calibri" w:hAnsi="Candara" w:cs="Open Sans"/>
              <w:color w:val="333333"/>
              <w:sz w:val="16"/>
              <w:szCs w:val="16"/>
            </w:rPr>
          </w:pPr>
          <w:r w:rsidRPr="00650FB5">
            <w:rPr>
              <w:rFonts w:ascii="Candara" w:eastAsia="Calibri" w:hAnsi="Candara" w:cs="Open Sans"/>
              <w:noProof/>
              <w:color w:val="333333"/>
              <w:sz w:val="16"/>
              <w:szCs w:val="16"/>
            </w:rPr>
            <w:drawing>
              <wp:inline distT="0" distB="0" distL="0" distR="0" wp14:anchorId="3F0D156F" wp14:editId="73FC1152">
                <wp:extent cx="843280" cy="297180"/>
                <wp:effectExtent l="0" t="0" r="0" b="7620"/>
                <wp:docPr id="12" name="Picture 12">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3280" cy="297180"/>
                        </a:xfrm>
                        <a:prstGeom prst="rect">
                          <a:avLst/>
                        </a:prstGeom>
                        <a:noFill/>
                        <a:ln>
                          <a:noFill/>
                        </a:ln>
                      </pic:spPr>
                    </pic:pic>
                  </a:graphicData>
                </a:graphic>
              </wp:inline>
            </w:drawing>
          </w:r>
        </w:p>
        <w:p w14:paraId="5A0132C4" w14:textId="77777777" w:rsidR="00FE2493" w:rsidRPr="00650FB5" w:rsidRDefault="00FE2493" w:rsidP="00FE2493">
          <w:pPr>
            <w:tabs>
              <w:tab w:val="center" w:pos="4320"/>
              <w:tab w:val="right" w:pos="8640"/>
            </w:tabs>
            <w:spacing w:after="0" w:line="240" w:lineRule="auto"/>
            <w:ind w:left="-113"/>
            <w:jc w:val="both"/>
            <w:rPr>
              <w:rFonts w:ascii="Candara" w:eastAsia="Calibri" w:hAnsi="Candara" w:cs="Open Sans"/>
              <w:color w:val="333333"/>
              <w:sz w:val="16"/>
              <w:szCs w:val="16"/>
            </w:rPr>
          </w:pPr>
          <w:r w:rsidRPr="00650FB5">
            <w:rPr>
              <w:rFonts w:ascii="Candara" w:eastAsia="Calibri" w:hAnsi="Candara" w:cs="Open Sans"/>
              <w:b/>
              <w:bCs/>
              <w:color w:val="333333"/>
              <w:sz w:val="16"/>
              <w:szCs w:val="16"/>
            </w:rPr>
            <w:t>PSIKOBORNEO: Jurnal Ilmiah Psikologi</w:t>
          </w:r>
          <w:r w:rsidRPr="00650FB5">
            <w:rPr>
              <w:rFonts w:ascii="Candara" w:eastAsia="Calibri" w:hAnsi="Candara" w:cs="Open Sans"/>
              <w:color w:val="333333"/>
              <w:sz w:val="16"/>
              <w:szCs w:val="16"/>
            </w:rPr>
            <w:t> Published by Faculty of Social and Political Siences, University of Mulawarman, Samarinda, East Kalimantan and This work is licensed under a </w:t>
          </w:r>
          <w:hyperlink r:id="rId3" w:history="1">
            <w:r w:rsidRPr="00650FB5">
              <w:rPr>
                <w:rFonts w:ascii="Candara" w:eastAsia="Calibri" w:hAnsi="Candara" w:cs="Open Sans"/>
                <w:color w:val="0563C1"/>
                <w:sz w:val="16"/>
                <w:szCs w:val="16"/>
                <w:u w:val="single"/>
              </w:rPr>
              <w:t>Creative Commons Attribution-ShareAlike 4.0 International License</w:t>
            </w:r>
          </w:hyperlink>
          <w:r w:rsidRPr="00650FB5">
            <w:rPr>
              <w:rFonts w:ascii="Candara" w:eastAsia="Calibri" w:hAnsi="Candara" w:cs="Open Sans"/>
              <w:color w:val="333333"/>
              <w:sz w:val="16"/>
              <w:szCs w:val="16"/>
            </w:rPr>
            <w:t>.</w:t>
          </w:r>
        </w:p>
      </w:tc>
      <w:tc>
        <w:tcPr>
          <w:tcW w:w="269" w:type="pct"/>
        </w:tcPr>
        <w:p w14:paraId="7B055E18" w14:textId="77777777" w:rsidR="00FE2493" w:rsidRPr="00650FB5" w:rsidRDefault="00FE2493" w:rsidP="00FE2493">
          <w:pPr>
            <w:tabs>
              <w:tab w:val="center" w:pos="4320"/>
              <w:tab w:val="right" w:pos="8640"/>
            </w:tabs>
            <w:spacing w:after="0" w:line="240" w:lineRule="auto"/>
            <w:jc w:val="right"/>
            <w:rPr>
              <w:rFonts w:ascii="Candara" w:eastAsia="Times New Roman" w:hAnsi="Candara" w:cs="Segoe UI"/>
              <w:sz w:val="16"/>
              <w:szCs w:val="16"/>
              <w:lang w:val="en-US"/>
            </w:rPr>
          </w:pPr>
          <w:r w:rsidRPr="00650FB5">
            <w:rPr>
              <w:rFonts w:ascii="Candara" w:eastAsia="Times New Roman" w:hAnsi="Candara" w:cs="Segoe UI"/>
              <w:sz w:val="16"/>
              <w:szCs w:val="16"/>
              <w:lang w:val="en-US"/>
            </w:rPr>
            <w:fldChar w:fldCharType="begin"/>
          </w:r>
          <w:r w:rsidRPr="00650FB5">
            <w:rPr>
              <w:rFonts w:ascii="Candara" w:eastAsia="Times New Roman" w:hAnsi="Candara" w:cs="Segoe UI"/>
              <w:sz w:val="16"/>
              <w:szCs w:val="16"/>
              <w:lang w:val="en-US"/>
            </w:rPr>
            <w:instrText xml:space="preserve"> PAGE   \* MERGEFORMAT </w:instrText>
          </w:r>
          <w:r w:rsidRPr="00650FB5">
            <w:rPr>
              <w:rFonts w:ascii="Candara" w:eastAsia="Times New Roman" w:hAnsi="Candara" w:cs="Segoe UI"/>
              <w:sz w:val="16"/>
              <w:szCs w:val="16"/>
              <w:lang w:val="en-US"/>
            </w:rPr>
            <w:fldChar w:fldCharType="separate"/>
          </w:r>
          <w:r>
            <w:rPr>
              <w:rFonts w:ascii="Candara" w:eastAsia="Times New Roman" w:hAnsi="Candara" w:cs="Segoe UI"/>
              <w:sz w:val="16"/>
              <w:szCs w:val="16"/>
              <w:lang w:val="en-US"/>
            </w:rPr>
            <w:t>65</w:t>
          </w:r>
          <w:r w:rsidRPr="00650FB5">
            <w:rPr>
              <w:rFonts w:ascii="Candara" w:eastAsia="Times New Roman" w:hAnsi="Candara" w:cs="Segoe UI"/>
              <w:noProof/>
              <w:sz w:val="16"/>
              <w:szCs w:val="16"/>
              <w:lang w:val="en-US"/>
            </w:rPr>
            <w:fldChar w:fldCharType="end"/>
          </w:r>
        </w:p>
      </w:tc>
    </w:tr>
  </w:tbl>
  <w:p w14:paraId="55F0EC3C" w14:textId="694C9121" w:rsidR="00C26323" w:rsidRPr="00FE2493" w:rsidRDefault="00C26323" w:rsidP="00FE24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thickThinSmallGap" w:sz="12" w:space="0" w:color="auto"/>
      </w:tblBorders>
      <w:tblLook w:val="04A0" w:firstRow="1" w:lastRow="0" w:firstColumn="1" w:lastColumn="0" w:noHBand="0" w:noVBand="1"/>
    </w:tblPr>
    <w:tblGrid>
      <w:gridCol w:w="8107"/>
      <w:gridCol w:w="1645"/>
      <w:gridCol w:w="736"/>
    </w:tblGrid>
    <w:tr w:rsidR="00FE2493" w:rsidRPr="00743D26" w14:paraId="4BE78C4E" w14:textId="77777777" w:rsidTr="00B60236">
      <w:tc>
        <w:tcPr>
          <w:tcW w:w="3865" w:type="pct"/>
          <w:tcBorders>
            <w:top w:val="thickThinSmallGap" w:sz="12" w:space="0" w:color="auto"/>
            <w:left w:val="nil"/>
            <w:bottom w:val="nil"/>
            <w:right w:val="nil"/>
          </w:tcBorders>
          <w:hideMark/>
        </w:tcPr>
        <w:p w14:paraId="64F58ABE" w14:textId="2E6DC955" w:rsidR="00FE2493" w:rsidRPr="00743D26" w:rsidRDefault="00FE2493" w:rsidP="00FE2493">
          <w:pPr>
            <w:tabs>
              <w:tab w:val="center" w:pos="4320"/>
              <w:tab w:val="right" w:pos="8640"/>
            </w:tabs>
            <w:spacing w:after="0"/>
            <w:ind w:left="-113"/>
            <w:rPr>
              <w:rFonts w:ascii="Candara" w:eastAsia="Calibri" w:hAnsi="Candara" w:cs="Segoe UI"/>
              <w:sz w:val="16"/>
              <w:szCs w:val="16"/>
              <w:lang w:eastAsia="id-ID"/>
            </w:rPr>
          </w:pPr>
          <w:r w:rsidRPr="00743D26">
            <w:rPr>
              <w:rFonts w:ascii="Candara" w:eastAsia="Calibri" w:hAnsi="Candara" w:cs="Segoe UI"/>
              <w:bCs/>
              <w:sz w:val="16"/>
              <w:szCs w:val="16"/>
              <w:lang w:eastAsia="id-ID"/>
            </w:rPr>
            <w:t>DOI:</w:t>
          </w:r>
          <w:r w:rsidRPr="00743D26">
            <w:rPr>
              <w:rFonts w:ascii="Candara" w:eastAsia="Calibri" w:hAnsi="Candara" w:cs="Segoe UI"/>
              <w:sz w:val="16"/>
              <w:szCs w:val="16"/>
              <w:lang w:eastAsia="id-ID"/>
            </w:rPr>
            <w:t xml:space="preserve"> </w:t>
          </w:r>
          <w:r w:rsidRPr="00743D26">
            <w:rPr>
              <w:rFonts w:ascii="Candara" w:eastAsia="Calibri" w:hAnsi="Candara" w:cs="Calibri"/>
              <w:color w:val="0000FF"/>
              <w:sz w:val="16"/>
              <w:szCs w:val="16"/>
              <w:u w:val="single"/>
              <w:lang w:eastAsia="id-ID"/>
            </w:rPr>
            <w:t>http://dx.doi.org/10.30872/psikoborneo</w:t>
          </w:r>
        </w:p>
      </w:tc>
      <w:tc>
        <w:tcPr>
          <w:tcW w:w="784" w:type="pct"/>
          <w:tcBorders>
            <w:top w:val="thickThinSmallGap" w:sz="12" w:space="0" w:color="auto"/>
            <w:left w:val="nil"/>
            <w:bottom w:val="nil"/>
            <w:right w:val="nil"/>
          </w:tcBorders>
        </w:tcPr>
        <w:p w14:paraId="3AD87F34" w14:textId="77777777" w:rsidR="00FE2493" w:rsidRPr="00743D26" w:rsidRDefault="00FE2493" w:rsidP="00FE2493">
          <w:pPr>
            <w:tabs>
              <w:tab w:val="center" w:pos="4320"/>
              <w:tab w:val="right" w:pos="8640"/>
            </w:tabs>
            <w:spacing w:after="0"/>
            <w:ind w:left="-112"/>
            <w:rPr>
              <w:rFonts w:ascii="Candara" w:eastAsia="Calibri" w:hAnsi="Candara" w:cs="Segoe UI"/>
              <w:sz w:val="16"/>
              <w:szCs w:val="16"/>
              <w:lang w:eastAsia="id-ID"/>
            </w:rPr>
          </w:pPr>
        </w:p>
      </w:tc>
      <w:tc>
        <w:tcPr>
          <w:tcW w:w="351" w:type="pct"/>
          <w:tcBorders>
            <w:top w:val="thickThinSmallGap" w:sz="12" w:space="0" w:color="auto"/>
            <w:left w:val="nil"/>
            <w:bottom w:val="nil"/>
            <w:right w:val="nil"/>
          </w:tcBorders>
          <w:vAlign w:val="center"/>
          <w:hideMark/>
        </w:tcPr>
        <w:p w14:paraId="1E94C21D" w14:textId="77777777" w:rsidR="00FE2493" w:rsidRPr="00743D26" w:rsidRDefault="00FE2493" w:rsidP="00FE2493">
          <w:pPr>
            <w:tabs>
              <w:tab w:val="center" w:pos="4320"/>
              <w:tab w:val="right" w:pos="8640"/>
            </w:tabs>
            <w:spacing w:after="0"/>
            <w:jc w:val="right"/>
            <w:rPr>
              <w:rFonts w:ascii="Candara" w:eastAsia="Calibri" w:hAnsi="Candara" w:cs="Calibri"/>
              <w:sz w:val="16"/>
              <w:szCs w:val="16"/>
              <w:lang w:eastAsia="id-ID"/>
            </w:rPr>
          </w:pPr>
          <w:r w:rsidRPr="00743D26">
            <w:rPr>
              <w:rFonts w:ascii="Candara" w:eastAsia="Calibri" w:hAnsi="Candara" w:cs="Calibri"/>
              <w:sz w:val="16"/>
              <w:szCs w:val="16"/>
              <w:lang w:eastAsia="id-ID"/>
            </w:rPr>
            <w:fldChar w:fldCharType="begin"/>
          </w:r>
          <w:r w:rsidRPr="00743D26">
            <w:rPr>
              <w:rFonts w:ascii="Candara" w:eastAsia="Calibri" w:hAnsi="Candara" w:cs="Calibri"/>
              <w:sz w:val="16"/>
              <w:szCs w:val="16"/>
              <w:lang w:eastAsia="id-ID"/>
            </w:rPr>
            <w:instrText xml:space="preserve"> PAGE  \* Arabic  \* MERGEFORMAT </w:instrText>
          </w:r>
          <w:r w:rsidRPr="00743D26">
            <w:rPr>
              <w:rFonts w:ascii="Candara" w:eastAsia="Calibri" w:hAnsi="Candara" w:cs="Calibri"/>
              <w:sz w:val="16"/>
              <w:szCs w:val="16"/>
              <w:lang w:eastAsia="id-ID"/>
            </w:rPr>
            <w:fldChar w:fldCharType="separate"/>
          </w:r>
          <w:r>
            <w:rPr>
              <w:rFonts w:ascii="Candara" w:eastAsia="Calibri" w:hAnsi="Candara" w:cs="Calibri"/>
              <w:sz w:val="16"/>
              <w:szCs w:val="16"/>
              <w:lang w:eastAsia="id-ID"/>
            </w:rPr>
            <w:t>67</w:t>
          </w:r>
          <w:r w:rsidRPr="00743D26">
            <w:rPr>
              <w:rFonts w:ascii="Candara" w:eastAsia="Calibri" w:hAnsi="Candara" w:cs="Calibri"/>
              <w:sz w:val="16"/>
              <w:szCs w:val="16"/>
              <w:lang w:eastAsia="id-ID"/>
            </w:rPr>
            <w:fldChar w:fldCharType="end"/>
          </w:r>
        </w:p>
      </w:tc>
    </w:tr>
  </w:tbl>
  <w:p w14:paraId="19938421" w14:textId="77777777" w:rsidR="009F0A10" w:rsidRPr="00FE2493" w:rsidRDefault="009F0A10" w:rsidP="00FE24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16E02" w14:textId="77777777" w:rsidR="00C442B4" w:rsidRDefault="00C442B4" w:rsidP="004A2BD0">
      <w:pPr>
        <w:spacing w:after="0" w:line="240" w:lineRule="auto"/>
      </w:pPr>
      <w:r>
        <w:separator/>
      </w:r>
    </w:p>
  </w:footnote>
  <w:footnote w:type="continuationSeparator" w:id="0">
    <w:p w14:paraId="508AE5FC" w14:textId="77777777" w:rsidR="00C442B4" w:rsidRDefault="00C442B4" w:rsidP="004A2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FDFB4" w14:textId="77777777" w:rsidR="00616A1D" w:rsidRPr="00FE2493" w:rsidRDefault="00616A1D" w:rsidP="00616A1D">
    <w:pPr>
      <w:spacing w:after="0" w:line="240" w:lineRule="auto"/>
      <w:rPr>
        <w:rFonts w:ascii="Calibri" w:eastAsia="SimSun" w:hAnsi="Calibri" w:cs="Times New Roman"/>
        <w:sz w:val="16"/>
        <w:szCs w:val="16"/>
      </w:rPr>
    </w:pPr>
    <w:bookmarkStart w:id="0" w:name="_Hlk97842735"/>
    <w:bookmarkStart w:id="1" w:name="_Hlk97842736"/>
  </w:p>
  <w:tbl>
    <w:tblPr>
      <w:tblStyle w:val="TableGrid31"/>
      <w:tblW w:w="5000" w:type="pct"/>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7629"/>
      <w:gridCol w:w="2859"/>
    </w:tblGrid>
    <w:tr w:rsidR="00616A1D" w:rsidRPr="00FE2493" w14:paraId="417E14EC" w14:textId="77777777" w:rsidTr="006A6313">
      <w:tc>
        <w:tcPr>
          <w:tcW w:w="3637" w:type="pct"/>
        </w:tcPr>
        <w:p w14:paraId="4CB5C12D" w14:textId="53110BAE" w:rsidR="00616A1D" w:rsidRPr="00FE2493" w:rsidRDefault="006A6313" w:rsidP="00616A1D">
          <w:pPr>
            <w:tabs>
              <w:tab w:val="center" w:pos="4320"/>
              <w:tab w:val="right" w:pos="8640"/>
            </w:tabs>
            <w:ind w:left="-112"/>
            <w:rPr>
              <w:rFonts w:ascii="Candara" w:hAnsi="Candara" w:cs="Segoe UI"/>
              <w:sz w:val="16"/>
              <w:szCs w:val="16"/>
            </w:rPr>
          </w:pPr>
          <w:bookmarkStart w:id="2" w:name="_Hlk65582476"/>
          <w:bookmarkStart w:id="3" w:name="_Hlk65582477"/>
          <w:bookmarkStart w:id="4" w:name="_Hlk65582861"/>
          <w:bookmarkStart w:id="5" w:name="_Hlk65582862"/>
          <w:bookmarkStart w:id="6" w:name="_Hlk65583583"/>
          <w:bookmarkStart w:id="7" w:name="_Hlk65583584"/>
          <w:r w:rsidRPr="00FE2493">
            <w:rPr>
              <w:rFonts w:ascii="Candara" w:hAnsi="Candara" w:cs="Segoe UI"/>
              <w:sz w:val="16"/>
              <w:szCs w:val="16"/>
            </w:rPr>
            <w:t>PSIKOBORNEO</w:t>
          </w:r>
          <w:r w:rsidR="00616A1D" w:rsidRPr="00FE2493">
            <w:rPr>
              <w:rFonts w:ascii="Candara" w:hAnsi="Candara" w:cs="Segoe UI"/>
              <w:sz w:val="16"/>
              <w:szCs w:val="16"/>
            </w:rPr>
            <w:t xml:space="preserve">: Jurnal </w:t>
          </w:r>
          <w:r w:rsidRPr="00FE2493">
            <w:rPr>
              <w:rFonts w:ascii="Candara" w:hAnsi="Candara" w:cs="Segoe UI"/>
              <w:sz w:val="16"/>
              <w:szCs w:val="16"/>
            </w:rPr>
            <w:t xml:space="preserve">Ilmiah </w:t>
          </w:r>
          <w:r w:rsidR="00616A1D" w:rsidRPr="00FE2493">
            <w:rPr>
              <w:rFonts w:ascii="Candara" w:hAnsi="Candara" w:cs="Segoe UI"/>
              <w:sz w:val="16"/>
              <w:szCs w:val="16"/>
            </w:rPr>
            <w:t>Psikologi | Volume xx No. x | Month Year: p-pp</w:t>
          </w:r>
        </w:p>
      </w:tc>
      <w:tc>
        <w:tcPr>
          <w:tcW w:w="1363" w:type="pct"/>
        </w:tcPr>
        <w:p w14:paraId="73C0AB71" w14:textId="77777777" w:rsidR="00616A1D" w:rsidRPr="00FE2493" w:rsidRDefault="00616A1D" w:rsidP="00616A1D">
          <w:pPr>
            <w:tabs>
              <w:tab w:val="center" w:pos="4320"/>
              <w:tab w:val="right" w:pos="8640"/>
            </w:tabs>
            <w:jc w:val="right"/>
            <w:rPr>
              <w:rFonts w:ascii="Candara" w:hAnsi="Candara" w:cs="Segoe UI"/>
              <w:sz w:val="16"/>
              <w:szCs w:val="16"/>
            </w:rPr>
          </w:pPr>
        </w:p>
      </w:tc>
    </w:tr>
    <w:bookmarkEnd w:id="0"/>
    <w:bookmarkEnd w:id="1"/>
    <w:bookmarkEnd w:id="2"/>
    <w:bookmarkEnd w:id="3"/>
    <w:bookmarkEnd w:id="4"/>
    <w:bookmarkEnd w:id="5"/>
    <w:bookmarkEnd w:id="6"/>
    <w:bookmarkEnd w:id="7"/>
  </w:tbl>
  <w:p w14:paraId="34544C28" w14:textId="77777777" w:rsidR="00461691" w:rsidRPr="00FE2493" w:rsidRDefault="00461691">
    <w:pPr>
      <w:pStyle w:val="Head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98" w:type="dxa"/>
      <w:tblInd w:w="-142" w:type="dxa"/>
      <w:tblBorders>
        <w:top w:val="none" w:sz="0" w:space="0" w:color="auto"/>
        <w:left w:val="none" w:sz="0" w:space="0" w:color="auto"/>
        <w:bottom w:val="double" w:sz="4" w:space="0" w:color="7030A0"/>
        <w:right w:val="none" w:sz="0" w:space="0" w:color="auto"/>
        <w:insideH w:val="none" w:sz="0" w:space="0" w:color="auto"/>
        <w:insideV w:val="none" w:sz="0" w:space="0" w:color="auto"/>
      </w:tblBorders>
      <w:tblLook w:val="04A0" w:firstRow="1" w:lastRow="0" w:firstColumn="1" w:lastColumn="0" w:noHBand="0" w:noVBand="1"/>
    </w:tblPr>
    <w:tblGrid>
      <w:gridCol w:w="2766"/>
      <w:gridCol w:w="4038"/>
      <w:gridCol w:w="2694"/>
    </w:tblGrid>
    <w:tr w:rsidR="004A2BD0" w:rsidRPr="004A2BD0" w14:paraId="7740786D" w14:textId="77777777" w:rsidTr="00C44CDD">
      <w:tc>
        <w:tcPr>
          <w:tcW w:w="2766" w:type="dxa"/>
        </w:tcPr>
        <w:p w14:paraId="37721E90" w14:textId="77777777" w:rsidR="004A2BD0" w:rsidRPr="004A2BD0" w:rsidRDefault="004A2BD0" w:rsidP="004A2BD0">
          <w:pPr>
            <w:tabs>
              <w:tab w:val="center" w:pos="4320"/>
              <w:tab w:val="right" w:pos="8640"/>
            </w:tabs>
            <w:jc w:val="center"/>
            <w:rPr>
              <w:rFonts w:ascii="Candara" w:hAnsi="Candara" w:cs="Segoe UI"/>
              <w:b/>
            </w:rPr>
          </w:pPr>
          <w:r w:rsidRPr="004A2BD0">
            <w:rPr>
              <w:rFonts w:ascii="Cambria" w:hAnsi="Cambria"/>
              <w:b/>
              <w:bCs/>
              <w:noProof/>
            </w:rPr>
            <w:drawing>
              <wp:anchor distT="0" distB="0" distL="114300" distR="114300" simplePos="0" relativeHeight="251658752" behindDoc="0" locked="0" layoutInCell="1" allowOverlap="1" wp14:anchorId="0E9CA632" wp14:editId="44C92623">
                <wp:simplePos x="0" y="0"/>
                <wp:positionH relativeFrom="margin">
                  <wp:posOffset>-2186</wp:posOffset>
                </wp:positionH>
                <wp:positionV relativeFrom="paragraph">
                  <wp:posOffset>0</wp:posOffset>
                </wp:positionV>
                <wp:extent cx="1796903" cy="613879"/>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04355" cy="616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38" w:type="dxa"/>
        </w:tcPr>
        <w:p w14:paraId="300B43E5" w14:textId="77777777" w:rsidR="004A2BD0" w:rsidRPr="00BE1E2F" w:rsidRDefault="004A2BD0" w:rsidP="004A2BD0">
          <w:pPr>
            <w:tabs>
              <w:tab w:val="center" w:pos="4320"/>
              <w:tab w:val="right" w:pos="8640"/>
            </w:tabs>
            <w:jc w:val="center"/>
            <w:rPr>
              <w:rFonts w:ascii="Candara" w:hAnsi="Candara" w:cs="Segoe UI"/>
              <w:b/>
              <w:lang w:val="fr-FR"/>
            </w:rPr>
          </w:pPr>
          <w:r w:rsidRPr="00BE1E2F">
            <w:rPr>
              <w:rFonts w:ascii="Candara" w:hAnsi="Candara" w:cs="Segoe UI"/>
              <w:b/>
              <w:lang w:val="fr-FR"/>
            </w:rPr>
            <w:t>Psikostudia</w:t>
          </w:r>
        </w:p>
        <w:p w14:paraId="3B3869E7" w14:textId="77777777" w:rsidR="004A2BD0" w:rsidRPr="00BE1E2F" w:rsidRDefault="004A2BD0" w:rsidP="004A2BD0">
          <w:pPr>
            <w:tabs>
              <w:tab w:val="center" w:pos="4320"/>
              <w:tab w:val="right" w:pos="8640"/>
            </w:tabs>
            <w:jc w:val="center"/>
            <w:rPr>
              <w:rFonts w:ascii="Candara" w:hAnsi="Candara" w:cs="Segoe UI"/>
              <w:b/>
              <w:lang w:val="fr-FR"/>
            </w:rPr>
          </w:pPr>
          <w:r w:rsidRPr="00BE1E2F">
            <w:rPr>
              <w:rFonts w:ascii="Candara" w:hAnsi="Candara" w:cs="Segoe UI"/>
              <w:b/>
              <w:lang w:val="fr-FR"/>
            </w:rPr>
            <w:t>Jurnal Psikologi</w:t>
          </w:r>
        </w:p>
        <w:p w14:paraId="7E43A838" w14:textId="0CAE5034" w:rsidR="004A2BD0" w:rsidRPr="004A2BD0" w:rsidRDefault="004A2BD0" w:rsidP="004A2BD0">
          <w:pPr>
            <w:tabs>
              <w:tab w:val="center" w:pos="4320"/>
              <w:tab w:val="right" w:pos="8640"/>
            </w:tabs>
            <w:jc w:val="center"/>
            <w:rPr>
              <w:rFonts w:ascii="Candara" w:hAnsi="Candara" w:cs="Segoe UI"/>
              <w:bCs/>
              <w:lang w:val="id-ID"/>
            </w:rPr>
          </w:pPr>
          <w:r w:rsidRPr="00BE1E2F">
            <w:rPr>
              <w:rFonts w:ascii="Candara" w:hAnsi="Candara" w:cs="Segoe UI"/>
              <w:bCs/>
              <w:lang w:val="fr-FR"/>
            </w:rPr>
            <w:t xml:space="preserve">Volume x No.x | June </w:t>
          </w:r>
          <w:proofErr w:type="gramStart"/>
          <w:r w:rsidRPr="00BE1E2F">
            <w:rPr>
              <w:rFonts w:ascii="Candara" w:hAnsi="Candara" w:cs="Segoe UI"/>
              <w:bCs/>
              <w:lang w:val="fr-FR"/>
            </w:rPr>
            <w:t>20</w:t>
          </w:r>
          <w:r>
            <w:rPr>
              <w:rFonts w:ascii="Candara" w:hAnsi="Candara" w:cs="Segoe UI"/>
              <w:bCs/>
              <w:lang w:val="id-ID"/>
            </w:rPr>
            <w:t>22</w:t>
          </w:r>
          <w:r w:rsidRPr="00BE1E2F">
            <w:rPr>
              <w:rFonts w:ascii="Candara" w:hAnsi="Candara" w:cs="Segoe UI"/>
              <w:bCs/>
              <w:lang w:val="fr-FR"/>
            </w:rPr>
            <w:t>:</w:t>
          </w:r>
          <w:proofErr w:type="gramEnd"/>
          <w:r w:rsidRPr="00BE1E2F">
            <w:rPr>
              <w:rFonts w:ascii="Candara" w:hAnsi="Candara" w:cs="Segoe UI"/>
              <w:bCs/>
              <w:lang w:val="fr-FR"/>
            </w:rPr>
            <w:t xml:space="preserve"> </w:t>
          </w:r>
          <w:r>
            <w:rPr>
              <w:rFonts w:ascii="Candara" w:hAnsi="Candara" w:cs="Segoe UI"/>
              <w:bCs/>
              <w:lang w:val="id-ID"/>
            </w:rPr>
            <w:t>xx-xxx</w:t>
          </w:r>
        </w:p>
        <w:p w14:paraId="04995C5E" w14:textId="77777777" w:rsidR="004A2BD0" w:rsidRPr="004A2BD0" w:rsidRDefault="004A2BD0" w:rsidP="004A2BD0">
          <w:pPr>
            <w:tabs>
              <w:tab w:val="center" w:pos="4320"/>
              <w:tab w:val="right" w:pos="8640"/>
            </w:tabs>
            <w:jc w:val="center"/>
            <w:rPr>
              <w:rFonts w:ascii="Candara" w:hAnsi="Candara" w:cs="Segoe UI"/>
              <w:bCs/>
            </w:rPr>
          </w:pPr>
          <w:r w:rsidRPr="004A2BD0">
            <w:rPr>
              <w:rFonts w:ascii="Candara" w:hAnsi="Candara" w:cs="Segoe UI"/>
              <w:bCs/>
            </w:rPr>
            <w:t>DOI:</w:t>
          </w:r>
          <w:r w:rsidRPr="004A2BD0">
            <w:rPr>
              <w:rFonts w:ascii="Candara" w:hAnsi="Candara" w:cs="Segoe UI"/>
            </w:rPr>
            <w:t xml:space="preserve"> </w:t>
          </w:r>
          <w:hyperlink r:id="rId2" w:history="1">
            <w:r w:rsidRPr="004A2BD0">
              <w:rPr>
                <w:rFonts w:ascii="Candara" w:hAnsi="Candara" w:cs="Segoe UI"/>
                <w:b/>
                <w:bCs/>
              </w:rPr>
              <w:t>10.30872/psikostudia</w:t>
            </w:r>
          </w:hyperlink>
        </w:p>
      </w:tc>
      <w:tc>
        <w:tcPr>
          <w:tcW w:w="2694" w:type="dxa"/>
          <w:vAlign w:val="center"/>
        </w:tcPr>
        <w:p w14:paraId="0A79248B" w14:textId="77777777" w:rsidR="004A2BD0" w:rsidRPr="004A2BD0" w:rsidRDefault="004A2BD0" w:rsidP="004A2BD0">
          <w:pPr>
            <w:tabs>
              <w:tab w:val="center" w:pos="4320"/>
              <w:tab w:val="right" w:pos="8640"/>
            </w:tabs>
            <w:jc w:val="right"/>
            <w:rPr>
              <w:rFonts w:ascii="Candara" w:hAnsi="Candara" w:cs="Arial"/>
              <w:shd w:val="clear" w:color="auto" w:fill="FAFAFA"/>
            </w:rPr>
          </w:pPr>
          <w:r w:rsidRPr="004A2BD0">
            <w:rPr>
              <w:rFonts w:ascii="Candara" w:hAnsi="Candara" w:cs="Segoe UI"/>
            </w:rPr>
            <w:t xml:space="preserve">p-ISSN: </w:t>
          </w:r>
          <w:hyperlink r:id="rId3" w:history="1">
            <w:r w:rsidRPr="004A2BD0">
              <w:rPr>
                <w:rFonts w:ascii="Candara" w:hAnsi="Candara" w:cs="Segoe UI"/>
                <w:b/>
                <w:bCs/>
              </w:rPr>
              <w:t>2302-2582</w:t>
            </w:r>
          </w:hyperlink>
        </w:p>
        <w:p w14:paraId="647BAA48" w14:textId="77777777" w:rsidR="004A2BD0" w:rsidRPr="004A2BD0" w:rsidRDefault="004A2BD0" w:rsidP="004A2BD0">
          <w:pPr>
            <w:tabs>
              <w:tab w:val="center" w:pos="4320"/>
              <w:tab w:val="right" w:pos="8640"/>
            </w:tabs>
            <w:jc w:val="right"/>
            <w:rPr>
              <w:rFonts w:ascii="Candara" w:hAnsi="Candara" w:cs="Segoe UI"/>
              <w:b/>
            </w:rPr>
          </w:pPr>
          <w:r w:rsidRPr="004A2BD0">
            <w:rPr>
              <w:rFonts w:ascii="Candara" w:hAnsi="Candara" w:cs="Segoe UI"/>
            </w:rPr>
            <w:t xml:space="preserve">e-ISSN: </w:t>
          </w:r>
          <w:hyperlink r:id="rId4" w:tgtFrame="_blank" w:history="1">
            <w:r w:rsidRPr="004A2BD0">
              <w:rPr>
                <w:rFonts w:ascii="Candara" w:hAnsi="Candara" w:cs="Segoe UI"/>
                <w:b/>
                <w:bCs/>
              </w:rPr>
              <w:t>2657-0963</w:t>
            </w:r>
          </w:hyperlink>
        </w:p>
      </w:tc>
    </w:tr>
  </w:tbl>
  <w:p w14:paraId="57057EDE" w14:textId="7661E89D" w:rsidR="004A2BD0" w:rsidRDefault="004A2B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thickThinSmallGap" w:sz="24" w:space="0" w:color="FFC000"/>
      </w:tblBorders>
      <w:tblLook w:val="04A0" w:firstRow="1" w:lastRow="0" w:firstColumn="1" w:lastColumn="0" w:noHBand="0" w:noVBand="1"/>
    </w:tblPr>
    <w:tblGrid>
      <w:gridCol w:w="2097"/>
      <w:gridCol w:w="6442"/>
      <w:gridCol w:w="1949"/>
    </w:tblGrid>
    <w:tr w:rsidR="00FE2493" w:rsidRPr="00650FB5" w14:paraId="0C1D8364" w14:textId="77777777" w:rsidTr="00B60236">
      <w:tc>
        <w:tcPr>
          <w:tcW w:w="1000" w:type="pct"/>
          <w:tcBorders>
            <w:top w:val="nil"/>
            <w:left w:val="nil"/>
            <w:bottom w:val="thickThinSmallGap" w:sz="24" w:space="0" w:color="FFC000"/>
            <w:right w:val="nil"/>
          </w:tcBorders>
        </w:tcPr>
        <w:p w14:paraId="4FD19FDA" w14:textId="77777777" w:rsidR="00FE2493" w:rsidRPr="00650FB5" w:rsidRDefault="00FE2493" w:rsidP="00FE2493">
          <w:pPr>
            <w:widowControl w:val="0"/>
            <w:tabs>
              <w:tab w:val="center" w:pos="4320"/>
              <w:tab w:val="right" w:pos="8640"/>
            </w:tabs>
            <w:autoSpaceDE w:val="0"/>
            <w:autoSpaceDN w:val="0"/>
            <w:spacing w:after="0" w:line="252" w:lineRule="auto"/>
            <w:jc w:val="center"/>
            <w:rPr>
              <w:rFonts w:ascii="Candara" w:eastAsia="Times New Roman" w:hAnsi="Candara" w:cs="Segoe UI"/>
              <w:b/>
              <w:noProof/>
              <w:sz w:val="20"/>
              <w:szCs w:val="20"/>
              <w:lang w:val="en-US" w:eastAsia="id-ID"/>
            </w:rPr>
          </w:pPr>
          <w:r w:rsidRPr="00650FB5">
            <w:rPr>
              <w:rFonts w:ascii="Candara" w:eastAsia="Calibri" w:hAnsi="Candara" w:cs="Times New Roman"/>
              <w:noProof/>
              <w:sz w:val="20"/>
              <w:szCs w:val="20"/>
            </w:rPr>
            <w:drawing>
              <wp:anchor distT="0" distB="0" distL="114300" distR="114300" simplePos="0" relativeHeight="251660800" behindDoc="0" locked="0" layoutInCell="1" allowOverlap="1" wp14:anchorId="1D86C550" wp14:editId="564C5851">
                <wp:simplePos x="0" y="0"/>
                <wp:positionH relativeFrom="column">
                  <wp:posOffset>-88265</wp:posOffset>
                </wp:positionH>
                <wp:positionV relativeFrom="paragraph">
                  <wp:posOffset>17780</wp:posOffset>
                </wp:positionV>
                <wp:extent cx="1294765" cy="647065"/>
                <wp:effectExtent l="0" t="0" r="0" b="0"/>
                <wp:wrapNone/>
                <wp:docPr id="2" name="Picture 2" descr="A picture containing ax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ax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765" cy="6470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EE4962" w14:textId="77777777" w:rsidR="00FE2493" w:rsidRPr="00650FB5" w:rsidRDefault="00FE2493" w:rsidP="00FE2493">
          <w:pPr>
            <w:widowControl w:val="0"/>
            <w:autoSpaceDE w:val="0"/>
            <w:autoSpaceDN w:val="0"/>
            <w:spacing w:after="0" w:line="240" w:lineRule="auto"/>
            <w:rPr>
              <w:rFonts w:ascii="Candara" w:eastAsia="Times New Roman" w:hAnsi="Candara" w:cs="Segoe UI"/>
              <w:noProof/>
              <w:sz w:val="20"/>
              <w:szCs w:val="20"/>
              <w:lang w:val="en-US" w:eastAsia="id-ID"/>
            </w:rPr>
          </w:pPr>
        </w:p>
        <w:p w14:paraId="4B82109D" w14:textId="77777777" w:rsidR="00FE2493" w:rsidRPr="00650FB5" w:rsidRDefault="00FE2493" w:rsidP="00FE2493">
          <w:pPr>
            <w:widowControl w:val="0"/>
            <w:autoSpaceDE w:val="0"/>
            <w:autoSpaceDN w:val="0"/>
            <w:spacing w:after="0" w:line="240" w:lineRule="auto"/>
            <w:rPr>
              <w:rFonts w:ascii="Candara" w:eastAsia="Times New Roman" w:hAnsi="Candara" w:cs="Segoe UI"/>
              <w:b/>
              <w:noProof/>
              <w:sz w:val="20"/>
              <w:szCs w:val="20"/>
              <w:lang w:val="en-US" w:eastAsia="id-ID"/>
            </w:rPr>
          </w:pPr>
        </w:p>
        <w:p w14:paraId="57C432F9" w14:textId="77777777" w:rsidR="00FE2493" w:rsidRPr="00650FB5" w:rsidRDefault="00FE2493" w:rsidP="00FE2493">
          <w:pPr>
            <w:widowControl w:val="0"/>
            <w:autoSpaceDE w:val="0"/>
            <w:autoSpaceDN w:val="0"/>
            <w:spacing w:after="0" w:line="240" w:lineRule="auto"/>
            <w:jc w:val="right"/>
            <w:rPr>
              <w:rFonts w:ascii="Candara" w:eastAsia="Times New Roman" w:hAnsi="Candara" w:cs="Segoe UI"/>
              <w:noProof/>
              <w:sz w:val="20"/>
              <w:szCs w:val="20"/>
              <w:lang w:val="en-US" w:eastAsia="id-ID"/>
            </w:rPr>
          </w:pPr>
        </w:p>
      </w:tc>
      <w:tc>
        <w:tcPr>
          <w:tcW w:w="3071" w:type="pct"/>
          <w:tcBorders>
            <w:top w:val="nil"/>
            <w:left w:val="nil"/>
            <w:bottom w:val="thickThinSmallGap" w:sz="24" w:space="0" w:color="FFC000"/>
            <w:right w:val="nil"/>
          </w:tcBorders>
          <w:hideMark/>
        </w:tcPr>
        <w:p w14:paraId="1CE44F6E" w14:textId="77777777" w:rsidR="00FE2493" w:rsidRPr="00650FB5" w:rsidRDefault="00FE2493" w:rsidP="00FE2493">
          <w:pPr>
            <w:widowControl w:val="0"/>
            <w:tabs>
              <w:tab w:val="center" w:pos="4320"/>
              <w:tab w:val="right" w:pos="8640"/>
            </w:tabs>
            <w:autoSpaceDE w:val="0"/>
            <w:autoSpaceDN w:val="0"/>
            <w:spacing w:after="0" w:line="252" w:lineRule="auto"/>
            <w:jc w:val="center"/>
            <w:rPr>
              <w:rFonts w:ascii="Candara" w:eastAsia="Times New Roman" w:hAnsi="Candara" w:cs="Segoe UI"/>
              <w:b/>
              <w:noProof/>
              <w:sz w:val="20"/>
              <w:szCs w:val="20"/>
              <w:lang w:val="en-US" w:eastAsia="id-ID"/>
            </w:rPr>
          </w:pPr>
          <w:r w:rsidRPr="00650FB5">
            <w:rPr>
              <w:rFonts w:ascii="Candara" w:eastAsia="Times New Roman" w:hAnsi="Candara" w:cs="Segoe UI"/>
              <w:b/>
              <w:noProof/>
              <w:sz w:val="20"/>
              <w:szCs w:val="20"/>
              <w:lang w:val="en-US" w:eastAsia="id-ID"/>
            </w:rPr>
            <w:t>Psikoborneo</w:t>
          </w:r>
        </w:p>
        <w:p w14:paraId="7DC7E1AF" w14:textId="77777777" w:rsidR="00FE2493" w:rsidRPr="00650FB5" w:rsidRDefault="00FE2493" w:rsidP="00FE2493">
          <w:pPr>
            <w:widowControl w:val="0"/>
            <w:tabs>
              <w:tab w:val="left" w:pos="486"/>
              <w:tab w:val="center" w:pos="1911"/>
              <w:tab w:val="center" w:pos="4320"/>
              <w:tab w:val="right" w:pos="8640"/>
            </w:tabs>
            <w:autoSpaceDE w:val="0"/>
            <w:autoSpaceDN w:val="0"/>
            <w:spacing w:after="0" w:line="252" w:lineRule="auto"/>
            <w:jc w:val="center"/>
            <w:rPr>
              <w:rFonts w:ascii="Candara" w:eastAsia="Times New Roman" w:hAnsi="Candara" w:cs="Segoe UI"/>
              <w:b/>
              <w:noProof/>
              <w:sz w:val="20"/>
              <w:szCs w:val="20"/>
              <w:lang w:val="en-US" w:eastAsia="id-ID"/>
            </w:rPr>
          </w:pPr>
          <w:r w:rsidRPr="00650FB5">
            <w:rPr>
              <w:rFonts w:ascii="Candara" w:eastAsia="Times New Roman" w:hAnsi="Candara" w:cs="Segoe UI"/>
              <w:b/>
              <w:noProof/>
              <w:sz w:val="20"/>
              <w:szCs w:val="20"/>
              <w:lang w:val="en-US" w:eastAsia="id-ID"/>
            </w:rPr>
            <w:t>Jurnal Imiah Psikologi</w:t>
          </w:r>
        </w:p>
        <w:p w14:paraId="7829F5A6" w14:textId="6E8EFF8B" w:rsidR="00FE2493" w:rsidRPr="00650FB5" w:rsidRDefault="00FE2493" w:rsidP="00FE2493">
          <w:pPr>
            <w:widowControl w:val="0"/>
            <w:tabs>
              <w:tab w:val="center" w:pos="4320"/>
              <w:tab w:val="right" w:pos="8640"/>
            </w:tabs>
            <w:autoSpaceDE w:val="0"/>
            <w:autoSpaceDN w:val="0"/>
            <w:spacing w:after="0" w:line="252" w:lineRule="auto"/>
            <w:jc w:val="center"/>
            <w:rPr>
              <w:rFonts w:ascii="Candara" w:eastAsia="Times New Roman" w:hAnsi="Candara" w:cs="Segoe UI"/>
              <w:bCs/>
              <w:noProof/>
              <w:sz w:val="20"/>
              <w:szCs w:val="20"/>
              <w:lang w:eastAsia="id-ID"/>
            </w:rPr>
          </w:pPr>
          <w:r w:rsidRPr="00650FB5">
            <w:rPr>
              <w:rFonts w:ascii="Candara" w:eastAsia="Times New Roman" w:hAnsi="Candara" w:cs="Segoe UI"/>
              <w:bCs/>
              <w:noProof/>
              <w:sz w:val="20"/>
              <w:szCs w:val="20"/>
              <w:lang w:val="en-US" w:eastAsia="id-ID"/>
            </w:rPr>
            <w:t xml:space="preserve">Volume </w:t>
          </w:r>
          <w:r>
            <w:rPr>
              <w:rFonts w:ascii="Candara" w:eastAsia="Times New Roman" w:hAnsi="Candara" w:cs="Segoe UI"/>
              <w:bCs/>
              <w:noProof/>
              <w:sz w:val="20"/>
              <w:szCs w:val="20"/>
              <w:lang w:eastAsia="id-ID"/>
            </w:rPr>
            <w:t>xx</w:t>
          </w:r>
          <w:r w:rsidRPr="00650FB5">
            <w:rPr>
              <w:rFonts w:ascii="Candara" w:eastAsia="Times New Roman" w:hAnsi="Candara" w:cs="Segoe UI"/>
              <w:bCs/>
              <w:noProof/>
              <w:sz w:val="20"/>
              <w:szCs w:val="20"/>
              <w:lang w:val="en-US" w:eastAsia="id-ID"/>
            </w:rPr>
            <w:t xml:space="preserve"> No </w:t>
          </w:r>
          <w:r>
            <w:rPr>
              <w:rFonts w:ascii="Candara" w:eastAsia="Times New Roman" w:hAnsi="Candara" w:cs="Segoe UI"/>
              <w:bCs/>
              <w:noProof/>
              <w:sz w:val="20"/>
              <w:szCs w:val="20"/>
              <w:lang w:eastAsia="id-ID"/>
            </w:rPr>
            <w:t>x</w:t>
          </w:r>
          <w:r w:rsidRPr="00650FB5">
            <w:rPr>
              <w:rFonts w:ascii="Candara" w:eastAsia="Times New Roman" w:hAnsi="Candara" w:cs="Segoe UI"/>
              <w:bCs/>
              <w:noProof/>
              <w:sz w:val="20"/>
              <w:szCs w:val="20"/>
              <w:lang w:val="en-US" w:eastAsia="id-ID"/>
            </w:rPr>
            <w:t xml:space="preserve"> | </w:t>
          </w:r>
          <w:r w:rsidRPr="00650FB5">
            <w:rPr>
              <w:rFonts w:ascii="Candara" w:eastAsia="Times New Roman" w:hAnsi="Candara" w:cs="Segoe UI"/>
              <w:bCs/>
              <w:noProof/>
              <w:sz w:val="20"/>
              <w:szCs w:val="20"/>
              <w:lang w:eastAsia="id-ID"/>
            </w:rPr>
            <w:t>M</w:t>
          </w:r>
          <w:r>
            <w:rPr>
              <w:rFonts w:ascii="Candara" w:eastAsia="Times New Roman" w:hAnsi="Candara" w:cs="Segoe UI"/>
              <w:bCs/>
              <w:noProof/>
              <w:sz w:val="20"/>
              <w:szCs w:val="20"/>
              <w:lang w:eastAsia="id-ID"/>
            </w:rPr>
            <w:t>onth</w:t>
          </w:r>
          <w:r w:rsidRPr="00650FB5">
            <w:rPr>
              <w:rFonts w:ascii="Candara" w:eastAsia="Times New Roman" w:hAnsi="Candara" w:cs="Segoe UI"/>
              <w:bCs/>
              <w:noProof/>
              <w:sz w:val="20"/>
              <w:szCs w:val="20"/>
              <w:lang w:val="en-US" w:eastAsia="id-ID"/>
            </w:rPr>
            <w:t xml:space="preserve"> </w:t>
          </w:r>
          <w:r>
            <w:rPr>
              <w:rFonts w:ascii="Candara" w:eastAsia="Times New Roman" w:hAnsi="Candara" w:cs="Segoe UI"/>
              <w:bCs/>
              <w:noProof/>
              <w:sz w:val="20"/>
              <w:szCs w:val="20"/>
              <w:lang w:eastAsia="id-ID"/>
            </w:rPr>
            <w:t>Year</w:t>
          </w:r>
          <w:r w:rsidRPr="00650FB5">
            <w:rPr>
              <w:rFonts w:ascii="Candara" w:eastAsia="Times New Roman" w:hAnsi="Candara" w:cs="Segoe UI"/>
              <w:bCs/>
              <w:noProof/>
              <w:sz w:val="20"/>
              <w:szCs w:val="20"/>
              <w:lang w:val="en-US" w:eastAsia="id-ID"/>
            </w:rPr>
            <w:t xml:space="preserve">: </w:t>
          </w:r>
          <w:r>
            <w:rPr>
              <w:rFonts w:ascii="Candara" w:eastAsia="Times New Roman" w:hAnsi="Candara" w:cs="Segoe UI"/>
              <w:bCs/>
              <w:noProof/>
              <w:sz w:val="20"/>
              <w:szCs w:val="20"/>
              <w:lang w:eastAsia="id-ID"/>
            </w:rPr>
            <w:t>pp-ppp</w:t>
          </w:r>
        </w:p>
        <w:p w14:paraId="7CC1E3E7" w14:textId="5FAFB0BF" w:rsidR="00FE2493" w:rsidRPr="00650FB5" w:rsidRDefault="00FE2493" w:rsidP="00FE2493">
          <w:pPr>
            <w:widowControl w:val="0"/>
            <w:tabs>
              <w:tab w:val="center" w:pos="1947"/>
              <w:tab w:val="right" w:pos="3894"/>
              <w:tab w:val="center" w:pos="4320"/>
              <w:tab w:val="right" w:pos="8640"/>
            </w:tabs>
            <w:autoSpaceDE w:val="0"/>
            <w:autoSpaceDN w:val="0"/>
            <w:spacing w:after="0" w:line="252" w:lineRule="auto"/>
            <w:jc w:val="center"/>
            <w:rPr>
              <w:rFonts w:ascii="Candara" w:eastAsia="Times New Roman" w:hAnsi="Candara" w:cs="Segoe UI"/>
              <w:bCs/>
              <w:noProof/>
              <w:sz w:val="20"/>
              <w:szCs w:val="20"/>
              <w:lang w:val="en-US" w:eastAsia="id-ID"/>
            </w:rPr>
          </w:pPr>
          <w:r w:rsidRPr="00650FB5">
            <w:rPr>
              <w:rFonts w:ascii="Candara" w:eastAsia="Times New Roman" w:hAnsi="Candara" w:cs="Segoe UI"/>
              <w:bCs/>
              <w:noProof/>
              <w:sz w:val="20"/>
              <w:szCs w:val="20"/>
              <w:lang w:val="en-US" w:eastAsia="id-ID"/>
            </w:rPr>
            <w:t>DOI:</w:t>
          </w:r>
          <w:r w:rsidRPr="00650FB5">
            <w:rPr>
              <w:rFonts w:ascii="Candara" w:eastAsia="Times New Roman" w:hAnsi="Candara" w:cs="Segoe UI"/>
              <w:noProof/>
              <w:sz w:val="20"/>
              <w:szCs w:val="20"/>
              <w:lang w:val="en-US" w:eastAsia="id-ID"/>
            </w:rPr>
            <w:t xml:space="preserve"> </w:t>
          </w:r>
          <w:r w:rsidRPr="00650FB5">
            <w:rPr>
              <w:rFonts w:ascii="Candara" w:eastAsia="Calibri" w:hAnsi="Candara" w:cs="Calibri"/>
              <w:color w:val="0563C1"/>
              <w:sz w:val="20"/>
              <w:szCs w:val="20"/>
              <w:u w:val="single"/>
              <w:lang w:val="en-US" w:eastAsia="id-ID"/>
            </w:rPr>
            <w:t>http://dx.doi.org/10.30872/psikoborneo</w:t>
          </w:r>
          <w:r w:rsidRPr="00650FB5">
            <w:rPr>
              <w:rFonts w:ascii="Candara" w:eastAsia="Calibri" w:hAnsi="Candara" w:cs="Calibri"/>
              <w:sz w:val="20"/>
              <w:szCs w:val="20"/>
              <w:lang w:val="en-US" w:eastAsia="id-ID"/>
            </w:rPr>
            <w:t xml:space="preserve"> </w:t>
          </w:r>
          <w:r w:rsidRPr="00650FB5">
            <w:rPr>
              <w:rFonts w:ascii="Candara" w:eastAsia="Times New Roman" w:hAnsi="Candara" w:cs="Segoe UI"/>
              <w:bCs/>
              <w:noProof/>
              <w:sz w:val="20"/>
              <w:szCs w:val="20"/>
              <w:lang w:val="en-US" w:eastAsia="id-ID"/>
            </w:rPr>
            <w:t xml:space="preserve"> </w:t>
          </w:r>
        </w:p>
      </w:tc>
      <w:tc>
        <w:tcPr>
          <w:tcW w:w="929" w:type="pct"/>
          <w:tcBorders>
            <w:top w:val="nil"/>
            <w:left w:val="nil"/>
            <w:bottom w:val="thickThinSmallGap" w:sz="24" w:space="0" w:color="FFC000"/>
            <w:right w:val="nil"/>
          </w:tcBorders>
          <w:vAlign w:val="center"/>
          <w:hideMark/>
        </w:tcPr>
        <w:p w14:paraId="355105D6" w14:textId="77777777" w:rsidR="00FE2493" w:rsidRPr="00650FB5" w:rsidRDefault="00FE2493" w:rsidP="00FE2493">
          <w:pPr>
            <w:widowControl w:val="0"/>
            <w:tabs>
              <w:tab w:val="center" w:pos="4320"/>
              <w:tab w:val="right" w:pos="8640"/>
            </w:tabs>
            <w:autoSpaceDE w:val="0"/>
            <w:autoSpaceDN w:val="0"/>
            <w:spacing w:after="0" w:line="252" w:lineRule="auto"/>
            <w:jc w:val="right"/>
            <w:rPr>
              <w:rFonts w:ascii="Candara" w:eastAsia="Times New Roman" w:hAnsi="Candara" w:cs="Arial"/>
              <w:noProof/>
              <w:color w:val="111111"/>
              <w:sz w:val="20"/>
              <w:szCs w:val="20"/>
              <w:shd w:val="clear" w:color="auto" w:fill="FAFAFA"/>
              <w:lang w:val="en-US" w:eastAsia="id-ID"/>
            </w:rPr>
          </w:pPr>
          <w:r w:rsidRPr="00650FB5">
            <w:rPr>
              <w:rFonts w:ascii="Candara" w:eastAsia="Times New Roman" w:hAnsi="Candara" w:cs="Segoe UI"/>
              <w:noProof/>
              <w:sz w:val="20"/>
              <w:szCs w:val="20"/>
              <w:lang w:val="en-US" w:eastAsia="id-ID"/>
            </w:rPr>
            <w:t>p-ISSN : 2477-2666</w:t>
          </w:r>
        </w:p>
        <w:p w14:paraId="0059B265" w14:textId="77777777" w:rsidR="00FE2493" w:rsidRPr="00650FB5" w:rsidRDefault="00FE2493" w:rsidP="00FE2493">
          <w:pPr>
            <w:widowControl w:val="0"/>
            <w:tabs>
              <w:tab w:val="center" w:pos="4320"/>
              <w:tab w:val="right" w:pos="8640"/>
            </w:tabs>
            <w:autoSpaceDE w:val="0"/>
            <w:autoSpaceDN w:val="0"/>
            <w:spacing w:after="0" w:line="252" w:lineRule="auto"/>
            <w:jc w:val="right"/>
            <w:rPr>
              <w:rFonts w:ascii="Candara" w:eastAsia="Times New Roman" w:hAnsi="Candara" w:cs="Segoe UI"/>
              <w:b/>
              <w:noProof/>
              <w:sz w:val="20"/>
              <w:szCs w:val="20"/>
              <w:lang w:val="en-US" w:eastAsia="id-ID"/>
            </w:rPr>
          </w:pPr>
          <w:r w:rsidRPr="00650FB5">
            <w:rPr>
              <w:rFonts w:ascii="Candara" w:eastAsia="Times New Roman" w:hAnsi="Candara" w:cs="Segoe UI"/>
              <w:noProof/>
              <w:sz w:val="20"/>
              <w:szCs w:val="20"/>
              <w:lang w:val="en-US" w:eastAsia="id-ID"/>
            </w:rPr>
            <w:t>e-ISSN : 2477-2674</w:t>
          </w:r>
        </w:p>
      </w:tc>
    </w:tr>
  </w:tbl>
  <w:p w14:paraId="25A2D59F" w14:textId="52B39E6D" w:rsidR="00616A1D" w:rsidRPr="00FE2493" w:rsidRDefault="00616A1D" w:rsidP="00FE24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thickThinSmallGap" w:sz="12" w:space="0" w:color="auto"/>
      </w:tblBorders>
      <w:tblLook w:val="04A0" w:firstRow="1" w:lastRow="0" w:firstColumn="1" w:lastColumn="0" w:noHBand="0" w:noVBand="1"/>
    </w:tblPr>
    <w:tblGrid>
      <w:gridCol w:w="10488"/>
    </w:tblGrid>
    <w:tr w:rsidR="004D1C2F" w:rsidRPr="00FE2493" w14:paraId="2747ECB6" w14:textId="77777777" w:rsidTr="000A032A">
      <w:trPr>
        <w:trHeight w:val="207"/>
      </w:trPr>
      <w:tc>
        <w:tcPr>
          <w:tcW w:w="5000" w:type="pct"/>
          <w:vAlign w:val="center"/>
        </w:tcPr>
        <w:p w14:paraId="720EDE18" w14:textId="02EA5159" w:rsidR="004D1C2F" w:rsidRPr="00FE2493" w:rsidRDefault="004D1C2F" w:rsidP="000A032A">
          <w:pPr>
            <w:tabs>
              <w:tab w:val="center" w:pos="4320"/>
              <w:tab w:val="right" w:pos="8640"/>
            </w:tabs>
            <w:spacing w:after="0" w:line="240" w:lineRule="auto"/>
            <w:ind w:right="-113"/>
            <w:jc w:val="right"/>
            <w:rPr>
              <w:rFonts w:ascii="Candara" w:eastAsia="SimSun" w:hAnsi="Candara" w:cs="Segoe UI"/>
              <w:bCs/>
              <w:i/>
              <w:sz w:val="16"/>
              <w:szCs w:val="16"/>
              <w:lang w:eastAsia="id-ID"/>
            </w:rPr>
          </w:pPr>
          <w:r w:rsidRPr="00FE2493">
            <w:rPr>
              <w:rFonts w:ascii="Candara" w:hAnsi="Candara"/>
              <w:bCs/>
              <w:i/>
              <w:sz w:val="16"/>
              <w:szCs w:val="16"/>
              <w:lang w:val="id" w:eastAsia="id-ID"/>
            </w:rPr>
            <w:t>Judul naskah pendek dan jelas</w:t>
          </w:r>
        </w:p>
        <w:p w14:paraId="1E0E57B8" w14:textId="333B8B93" w:rsidR="004D1C2F" w:rsidRPr="00FE2493" w:rsidRDefault="004D1C2F" w:rsidP="000A032A">
          <w:pPr>
            <w:tabs>
              <w:tab w:val="center" w:pos="4320"/>
              <w:tab w:val="right" w:pos="8640"/>
            </w:tabs>
            <w:spacing w:after="0" w:line="240" w:lineRule="auto"/>
            <w:ind w:right="-113"/>
            <w:jc w:val="right"/>
            <w:rPr>
              <w:rFonts w:ascii="Candara" w:eastAsia="SimSun" w:hAnsi="Candara" w:cs="Segoe UI"/>
              <w:i/>
              <w:sz w:val="16"/>
              <w:szCs w:val="16"/>
              <w:lang w:val="es-ES" w:eastAsia="id-ID"/>
            </w:rPr>
          </w:pPr>
          <w:r w:rsidRPr="00FE2493">
            <w:rPr>
              <w:rFonts w:ascii="Candara" w:eastAsia="SimSun" w:hAnsi="Candara" w:cs="Segoe UI"/>
              <w:i/>
              <w:sz w:val="16"/>
              <w:szCs w:val="16"/>
              <w:lang w:val="es-ES" w:eastAsia="id-ID"/>
            </w:rPr>
            <w:t>(</w:t>
          </w:r>
          <w:r w:rsidRPr="00FE2493">
            <w:rPr>
              <w:rFonts w:ascii="Candara" w:eastAsia="SimSun" w:hAnsi="Candara" w:cs="Segoe UI"/>
              <w:i/>
              <w:sz w:val="16"/>
              <w:szCs w:val="16"/>
              <w:lang w:eastAsia="id-ID"/>
            </w:rPr>
            <w:t>Penulis</w:t>
          </w:r>
          <w:r w:rsidRPr="00FE2493">
            <w:rPr>
              <w:rFonts w:ascii="Candara" w:eastAsia="SimSun" w:hAnsi="Candara" w:cs="Segoe UI"/>
              <w:i/>
              <w:sz w:val="16"/>
              <w:szCs w:val="16"/>
              <w:vertAlign w:val="superscript"/>
              <w:lang w:eastAsia="id-ID"/>
            </w:rPr>
            <w:t>1</w:t>
          </w:r>
          <w:r w:rsidRPr="00FE2493">
            <w:rPr>
              <w:rFonts w:ascii="Candara" w:eastAsia="SimSun" w:hAnsi="Candara" w:cs="Segoe UI"/>
              <w:i/>
              <w:sz w:val="16"/>
              <w:szCs w:val="16"/>
              <w:lang w:eastAsia="id-ID"/>
            </w:rPr>
            <w:t>, Penulis</w:t>
          </w:r>
          <w:r w:rsidRPr="00FE2493">
            <w:rPr>
              <w:rFonts w:ascii="Candara" w:eastAsia="SimSun" w:hAnsi="Candara" w:cs="Segoe UI"/>
              <w:i/>
              <w:sz w:val="16"/>
              <w:szCs w:val="16"/>
              <w:vertAlign w:val="superscript"/>
              <w:lang w:eastAsia="id-ID"/>
            </w:rPr>
            <w:t>2</w:t>
          </w:r>
          <w:r w:rsidRPr="00FE2493">
            <w:rPr>
              <w:rFonts w:ascii="Candara" w:eastAsia="SimSun" w:hAnsi="Candara" w:cs="Segoe UI"/>
              <w:i/>
              <w:sz w:val="16"/>
              <w:szCs w:val="16"/>
              <w:lang w:eastAsia="id-ID"/>
            </w:rPr>
            <w:t>, Penulis</w:t>
          </w:r>
          <w:r w:rsidRPr="00FE2493">
            <w:rPr>
              <w:rFonts w:ascii="Candara" w:eastAsia="SimSun" w:hAnsi="Candara" w:cs="Segoe UI"/>
              <w:i/>
              <w:sz w:val="16"/>
              <w:szCs w:val="16"/>
              <w:vertAlign w:val="superscript"/>
              <w:lang w:eastAsia="id-ID"/>
            </w:rPr>
            <w:t>3</w:t>
          </w:r>
          <w:r w:rsidRPr="00FE2493">
            <w:rPr>
              <w:rFonts w:ascii="Candara" w:eastAsia="SimSun" w:hAnsi="Candara" w:cs="Segoe UI"/>
              <w:i/>
              <w:sz w:val="16"/>
              <w:szCs w:val="16"/>
              <w:lang w:eastAsia="id-ID"/>
            </w:rPr>
            <w:t>)</w:t>
          </w:r>
          <w:r w:rsidRPr="00FE2493">
            <w:rPr>
              <w:rFonts w:ascii="Candara" w:eastAsia="SimSun" w:hAnsi="Candara" w:cs="Segoe UI"/>
              <w:i/>
              <w:sz w:val="16"/>
              <w:szCs w:val="16"/>
              <w:lang w:val="es-ES" w:eastAsia="id-ID"/>
            </w:rPr>
            <w:t xml:space="preserve"> </w:t>
          </w:r>
        </w:p>
      </w:tc>
    </w:tr>
  </w:tbl>
  <w:p w14:paraId="7BC57F71" w14:textId="77777777" w:rsidR="00461691" w:rsidRPr="00FE2493" w:rsidRDefault="00461691" w:rsidP="004D1C2F">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D1D1B"/>
    <w:multiLevelType w:val="hybridMultilevel"/>
    <w:tmpl w:val="D6D09AE2"/>
    <w:lvl w:ilvl="0" w:tplc="A10E3E5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E8349D2"/>
    <w:multiLevelType w:val="hybridMultilevel"/>
    <w:tmpl w:val="C7AA474C"/>
    <w:lvl w:ilvl="0" w:tplc="6DB2D9AA">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 w15:restartNumberingAfterBreak="0">
    <w:nsid w:val="4E804D03"/>
    <w:multiLevelType w:val="hybridMultilevel"/>
    <w:tmpl w:val="523AE6EE"/>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517428B0"/>
    <w:multiLevelType w:val="hybridMultilevel"/>
    <w:tmpl w:val="097060DE"/>
    <w:lvl w:ilvl="0" w:tplc="29F6207E">
      <w:start w:val="1"/>
      <w:numFmt w:val="decimal"/>
      <w:lvlText w:val="%1."/>
      <w:lvlJc w:val="left"/>
      <w:pPr>
        <w:tabs>
          <w:tab w:val="num" w:pos="765"/>
        </w:tabs>
        <w:ind w:left="765" w:hanging="405"/>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16cid:durableId="1745296688">
    <w:abstractNumId w:val="2"/>
  </w:num>
  <w:num w:numId="2" w16cid:durableId="138351817">
    <w:abstractNumId w:val="0"/>
  </w:num>
  <w:num w:numId="3" w16cid:durableId="1436091221">
    <w:abstractNumId w:val="1"/>
  </w:num>
  <w:num w:numId="4" w16cid:durableId="18254705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97187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proofState w:grammar="clean"/>
  <w:documentProtection w:edit="comments" w:enforcement="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BD0"/>
    <w:rsid w:val="00021CB2"/>
    <w:rsid w:val="0005725D"/>
    <w:rsid w:val="000A032A"/>
    <w:rsid w:val="000F0FE6"/>
    <w:rsid w:val="00105D4F"/>
    <w:rsid w:val="00154985"/>
    <w:rsid w:val="00193657"/>
    <w:rsid w:val="001B0BF8"/>
    <w:rsid w:val="001C0FDA"/>
    <w:rsid w:val="001D094A"/>
    <w:rsid w:val="001D16CA"/>
    <w:rsid w:val="002462CE"/>
    <w:rsid w:val="00250A09"/>
    <w:rsid w:val="002643D6"/>
    <w:rsid w:val="00273379"/>
    <w:rsid w:val="002B3C32"/>
    <w:rsid w:val="002E4E75"/>
    <w:rsid w:val="002F2FBE"/>
    <w:rsid w:val="00314D0F"/>
    <w:rsid w:val="00384CF2"/>
    <w:rsid w:val="003942AB"/>
    <w:rsid w:val="00397A5B"/>
    <w:rsid w:val="003A1C55"/>
    <w:rsid w:val="003E30D7"/>
    <w:rsid w:val="003F3CAC"/>
    <w:rsid w:val="00461691"/>
    <w:rsid w:val="004A2BD0"/>
    <w:rsid w:val="004B7027"/>
    <w:rsid w:val="004C4C63"/>
    <w:rsid w:val="004D1C2F"/>
    <w:rsid w:val="004D5EDC"/>
    <w:rsid w:val="00507D75"/>
    <w:rsid w:val="00513261"/>
    <w:rsid w:val="005260AA"/>
    <w:rsid w:val="0053518F"/>
    <w:rsid w:val="0055143E"/>
    <w:rsid w:val="005561D7"/>
    <w:rsid w:val="00565E1F"/>
    <w:rsid w:val="00573E35"/>
    <w:rsid w:val="00576066"/>
    <w:rsid w:val="005908D2"/>
    <w:rsid w:val="00595E4C"/>
    <w:rsid w:val="005B04C2"/>
    <w:rsid w:val="005C2248"/>
    <w:rsid w:val="00616A1D"/>
    <w:rsid w:val="00682408"/>
    <w:rsid w:val="006904B8"/>
    <w:rsid w:val="006A6313"/>
    <w:rsid w:val="006C4E30"/>
    <w:rsid w:val="006E1FFB"/>
    <w:rsid w:val="00756153"/>
    <w:rsid w:val="00787C37"/>
    <w:rsid w:val="007B51EC"/>
    <w:rsid w:val="007C1336"/>
    <w:rsid w:val="007D2208"/>
    <w:rsid w:val="00814EA7"/>
    <w:rsid w:val="00823F58"/>
    <w:rsid w:val="00886BF0"/>
    <w:rsid w:val="008940EE"/>
    <w:rsid w:val="008D1D7E"/>
    <w:rsid w:val="008D5B31"/>
    <w:rsid w:val="00916E71"/>
    <w:rsid w:val="00934AC7"/>
    <w:rsid w:val="00973AA7"/>
    <w:rsid w:val="009A079B"/>
    <w:rsid w:val="009C1430"/>
    <w:rsid w:val="009E3B4C"/>
    <w:rsid w:val="009F0A10"/>
    <w:rsid w:val="00A265CC"/>
    <w:rsid w:val="00A3187C"/>
    <w:rsid w:val="00A33C12"/>
    <w:rsid w:val="00A4397D"/>
    <w:rsid w:val="00AC06CF"/>
    <w:rsid w:val="00AD0D51"/>
    <w:rsid w:val="00AE2389"/>
    <w:rsid w:val="00B2209B"/>
    <w:rsid w:val="00B222C5"/>
    <w:rsid w:val="00B32429"/>
    <w:rsid w:val="00BD040A"/>
    <w:rsid w:val="00BE1E2F"/>
    <w:rsid w:val="00BF2EEA"/>
    <w:rsid w:val="00C26323"/>
    <w:rsid w:val="00C442B4"/>
    <w:rsid w:val="00C505B7"/>
    <w:rsid w:val="00C5542B"/>
    <w:rsid w:val="00C614F4"/>
    <w:rsid w:val="00D11DAD"/>
    <w:rsid w:val="00D26605"/>
    <w:rsid w:val="00D3216D"/>
    <w:rsid w:val="00D44007"/>
    <w:rsid w:val="00D536AE"/>
    <w:rsid w:val="00D74B38"/>
    <w:rsid w:val="00D918F1"/>
    <w:rsid w:val="00DC0DB5"/>
    <w:rsid w:val="00DC7316"/>
    <w:rsid w:val="00DF6C73"/>
    <w:rsid w:val="00E23128"/>
    <w:rsid w:val="00E64F60"/>
    <w:rsid w:val="00E90161"/>
    <w:rsid w:val="00E916CC"/>
    <w:rsid w:val="00EA14F8"/>
    <w:rsid w:val="00EA2D61"/>
    <w:rsid w:val="00EF330B"/>
    <w:rsid w:val="00F668F8"/>
    <w:rsid w:val="00F8024C"/>
    <w:rsid w:val="00F96710"/>
    <w:rsid w:val="00FD02DB"/>
    <w:rsid w:val="00FE2493"/>
    <w:rsid w:val="00FE67E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0C278"/>
  <w15:chartTrackingRefBased/>
  <w15:docId w15:val="{CEB7058E-A379-4EEB-9B18-328ED449B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B0BF8"/>
  </w:style>
  <w:style w:type="paragraph" w:styleId="Heading1">
    <w:name w:val="heading 1"/>
    <w:aliases w:val="JUDUL ARTIKEL"/>
    <w:basedOn w:val="Normal"/>
    <w:next w:val="Normal"/>
    <w:link w:val="Heading1Char"/>
    <w:uiPriority w:val="9"/>
    <w:rsid w:val="006C4E30"/>
    <w:pPr>
      <w:keepNext/>
      <w:keepLines/>
      <w:spacing w:after="0" w:line="240" w:lineRule="auto"/>
      <w:jc w:val="center"/>
      <w:outlineLvl w:val="0"/>
    </w:pPr>
    <w:rPr>
      <w:rFonts w:ascii="Candara" w:eastAsiaTheme="majorEastAsia" w:hAnsi="Candara" w:cstheme="majorBidi"/>
      <w:b/>
      <w:sz w:val="32"/>
      <w:szCs w:val="32"/>
    </w:rPr>
  </w:style>
  <w:style w:type="paragraph" w:styleId="Heading2">
    <w:name w:val="heading 2"/>
    <w:basedOn w:val="Normal"/>
    <w:next w:val="Normal"/>
    <w:link w:val="Heading2Char"/>
    <w:uiPriority w:val="9"/>
    <w:semiHidden/>
    <w:unhideWhenUsed/>
    <w:rsid w:val="00BD04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D04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B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BD0"/>
  </w:style>
  <w:style w:type="paragraph" w:styleId="Footer">
    <w:name w:val="footer"/>
    <w:basedOn w:val="Normal"/>
    <w:link w:val="FooterChar"/>
    <w:uiPriority w:val="99"/>
    <w:unhideWhenUsed/>
    <w:rsid w:val="004A2B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D0"/>
  </w:style>
  <w:style w:type="table" w:styleId="TableGrid">
    <w:name w:val="Table Grid"/>
    <w:basedOn w:val="TableNormal"/>
    <w:uiPriority w:val="39"/>
    <w:rsid w:val="004A2BD0"/>
    <w:pPr>
      <w:spacing w:after="0" w:line="240" w:lineRule="auto"/>
    </w:pPr>
    <w:rPr>
      <w:rFonts w:ascii="Times New Roman" w:eastAsia="Times New Roman" w:hAnsi="Times New Roman" w:cs="Times New Roman"/>
      <w:sz w:val="20"/>
      <w:szCs w:val="20"/>
      <w:lang w:val="en-US"/>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character" w:customStyle="1" w:styleId="Heading1Char">
    <w:name w:val="Heading 1 Char"/>
    <w:aliases w:val="JUDUL ARTIKEL Char"/>
    <w:basedOn w:val="DefaultParagraphFont"/>
    <w:link w:val="Heading1"/>
    <w:uiPriority w:val="9"/>
    <w:rsid w:val="006C4E30"/>
    <w:rPr>
      <w:rFonts w:ascii="Candara" w:eastAsiaTheme="majorEastAsia" w:hAnsi="Candara" w:cstheme="majorBidi"/>
      <w:b/>
      <w:sz w:val="32"/>
      <w:szCs w:val="32"/>
    </w:rPr>
  </w:style>
  <w:style w:type="paragraph" w:customStyle="1" w:styleId="TitleoftheArticle">
    <w:name w:val="Title of the Article"/>
    <w:basedOn w:val="Title"/>
    <w:next w:val="Title"/>
    <w:link w:val="TitleoftheArticleKAR"/>
    <w:qFormat/>
    <w:rsid w:val="00BD040A"/>
    <w:pPr>
      <w:jc w:val="center"/>
    </w:pPr>
    <w:rPr>
      <w:rFonts w:ascii="Candara" w:hAnsi="Candara"/>
      <w:b/>
      <w:sz w:val="32"/>
    </w:rPr>
  </w:style>
  <w:style w:type="paragraph" w:customStyle="1" w:styleId="Author">
    <w:name w:val="Author"/>
    <w:basedOn w:val="NoSpacing"/>
    <w:link w:val="AuthorKAR"/>
    <w:qFormat/>
    <w:rsid w:val="00461691"/>
    <w:pPr>
      <w:jc w:val="center"/>
    </w:pPr>
    <w:rPr>
      <w:rFonts w:ascii="Candara" w:hAnsi="Candara"/>
      <w:b/>
      <w:sz w:val="24"/>
    </w:rPr>
  </w:style>
  <w:style w:type="character" w:customStyle="1" w:styleId="TitleoftheArticleKAR">
    <w:name w:val="Title of the Article KAR"/>
    <w:basedOn w:val="DefaultParagraphFont"/>
    <w:link w:val="TitleoftheArticle"/>
    <w:rsid w:val="00BD040A"/>
    <w:rPr>
      <w:rFonts w:ascii="Candara" w:eastAsiaTheme="majorEastAsia" w:hAnsi="Candara" w:cstheme="majorBidi"/>
      <w:b/>
      <w:spacing w:val="-10"/>
      <w:kern w:val="28"/>
      <w:sz w:val="32"/>
      <w:szCs w:val="56"/>
    </w:rPr>
  </w:style>
  <w:style w:type="paragraph" w:customStyle="1" w:styleId="AfiliationEmail">
    <w:name w:val="Afiliation &amp; Email"/>
    <w:basedOn w:val="Author"/>
    <w:next w:val="Author"/>
    <w:link w:val="AfiliationEmailKAR"/>
    <w:qFormat/>
    <w:rsid w:val="00BD040A"/>
    <w:rPr>
      <w:b w:val="0"/>
      <w:sz w:val="22"/>
    </w:rPr>
  </w:style>
  <w:style w:type="paragraph" w:styleId="NoSpacing">
    <w:name w:val="No Spacing"/>
    <w:link w:val="NoSpacingChar"/>
    <w:uiPriority w:val="1"/>
    <w:rsid w:val="009E3B4C"/>
    <w:pPr>
      <w:spacing w:after="0" w:line="240" w:lineRule="auto"/>
    </w:pPr>
  </w:style>
  <w:style w:type="character" w:customStyle="1" w:styleId="NoSpacingChar">
    <w:name w:val="No Spacing Char"/>
    <w:basedOn w:val="DefaultParagraphFont"/>
    <w:link w:val="NoSpacing"/>
    <w:uiPriority w:val="1"/>
    <w:rsid w:val="009E3B4C"/>
  </w:style>
  <w:style w:type="character" w:customStyle="1" w:styleId="AuthorKAR">
    <w:name w:val="Author KAR"/>
    <w:basedOn w:val="NoSpacingChar"/>
    <w:link w:val="Author"/>
    <w:rsid w:val="00461691"/>
    <w:rPr>
      <w:rFonts w:ascii="Candara" w:hAnsi="Candara"/>
      <w:b/>
      <w:sz w:val="24"/>
    </w:rPr>
  </w:style>
  <w:style w:type="character" w:styleId="Hyperlink">
    <w:name w:val="Hyperlink"/>
    <w:basedOn w:val="DefaultParagraphFont"/>
    <w:uiPriority w:val="99"/>
    <w:unhideWhenUsed/>
    <w:rsid w:val="00461691"/>
    <w:rPr>
      <w:color w:val="0563C1" w:themeColor="hyperlink"/>
      <w:u w:val="single"/>
    </w:rPr>
  </w:style>
  <w:style w:type="character" w:customStyle="1" w:styleId="AfiliationEmailKAR">
    <w:name w:val="Afiliation &amp; Email KAR"/>
    <w:basedOn w:val="AuthorKAR"/>
    <w:link w:val="AfiliationEmail"/>
    <w:rsid w:val="00BD040A"/>
    <w:rPr>
      <w:rFonts w:ascii="Candara" w:hAnsi="Candara"/>
      <w:b w:val="0"/>
      <w:sz w:val="24"/>
    </w:rPr>
  </w:style>
  <w:style w:type="character" w:styleId="UnresolvedMention">
    <w:name w:val="Unresolved Mention"/>
    <w:basedOn w:val="DefaultParagraphFont"/>
    <w:uiPriority w:val="99"/>
    <w:semiHidden/>
    <w:unhideWhenUsed/>
    <w:rsid w:val="00461691"/>
    <w:rPr>
      <w:color w:val="605E5C"/>
      <w:shd w:val="clear" w:color="auto" w:fill="E1DFDD"/>
    </w:rPr>
  </w:style>
  <w:style w:type="table" w:customStyle="1" w:styleId="TableGrid31">
    <w:name w:val="Table Grid31"/>
    <w:basedOn w:val="TableNormal"/>
    <w:next w:val="TableGrid"/>
    <w:uiPriority w:val="59"/>
    <w:qFormat/>
    <w:rsid w:val="00616A1D"/>
    <w:pPr>
      <w:spacing w:after="0" w:line="240" w:lineRule="auto"/>
    </w:pPr>
    <w:rPr>
      <w:rFonts w:ascii="Times New Roman" w:eastAsia="SimSun" w:hAnsi="Times New Roman" w:cs="Times New Roman"/>
      <w:sz w:val="20"/>
      <w:szCs w:val="20"/>
      <w:lang w:eastAsia="id-ID"/>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paragraph" w:customStyle="1" w:styleId="Abstract">
    <w:name w:val="Abstract"/>
    <w:basedOn w:val="Normal"/>
    <w:link w:val="AbstractKAR"/>
    <w:qFormat/>
    <w:rsid w:val="00C614F4"/>
    <w:pPr>
      <w:spacing w:after="0" w:line="240" w:lineRule="auto"/>
      <w:jc w:val="both"/>
    </w:pPr>
    <w:rPr>
      <w:rFonts w:ascii="Candara" w:hAnsi="Candara"/>
      <w:sz w:val="20"/>
    </w:rPr>
  </w:style>
  <w:style w:type="table" w:customStyle="1" w:styleId="TableGrid311">
    <w:name w:val="Table Grid311"/>
    <w:basedOn w:val="TableNormal"/>
    <w:uiPriority w:val="59"/>
    <w:qFormat/>
    <w:rsid w:val="001B0BF8"/>
    <w:pPr>
      <w:spacing w:after="0" w:line="240" w:lineRule="auto"/>
    </w:pPr>
    <w:rPr>
      <w:rFonts w:ascii="Times New Roman" w:eastAsia="SimSun" w:hAnsi="Times New Roman" w:cs="Times New Roman"/>
      <w:sz w:val="20"/>
      <w:szCs w:val="20"/>
    </w:rPr>
    <w:tblPr>
      <w:tblInd w:w="0" w:type="nil"/>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character" w:customStyle="1" w:styleId="AbstractKAR">
    <w:name w:val="Abstract KAR"/>
    <w:basedOn w:val="DefaultParagraphFont"/>
    <w:link w:val="Abstract"/>
    <w:rsid w:val="00C614F4"/>
    <w:rPr>
      <w:rFonts w:ascii="Candara" w:hAnsi="Candara"/>
      <w:sz w:val="20"/>
    </w:rPr>
  </w:style>
  <w:style w:type="paragraph" w:styleId="ListParagraph">
    <w:name w:val="List Paragraph"/>
    <w:basedOn w:val="Normal"/>
    <w:link w:val="ListParagraphChar"/>
    <w:uiPriority w:val="34"/>
    <w:qFormat/>
    <w:rsid w:val="00BD040A"/>
    <w:pPr>
      <w:ind w:left="720"/>
      <w:contextualSpacing/>
    </w:pPr>
  </w:style>
  <w:style w:type="paragraph" w:customStyle="1" w:styleId="Heading">
    <w:name w:val="Heading"/>
    <w:basedOn w:val="Heading1"/>
    <w:next w:val="Heading1"/>
    <w:link w:val="HeadingKAR"/>
    <w:qFormat/>
    <w:rsid w:val="00BD040A"/>
    <w:pPr>
      <w:spacing w:after="120"/>
      <w:jc w:val="both"/>
    </w:pPr>
    <w:rPr>
      <w:caps/>
      <w:sz w:val="24"/>
      <w:szCs w:val="24"/>
    </w:rPr>
  </w:style>
  <w:style w:type="paragraph" w:styleId="Title">
    <w:name w:val="Title"/>
    <w:basedOn w:val="Normal"/>
    <w:next w:val="Normal"/>
    <w:link w:val="TitleChar"/>
    <w:uiPriority w:val="10"/>
    <w:rsid w:val="00BD04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40A"/>
    <w:rPr>
      <w:rFonts w:asciiTheme="majorHAnsi" w:eastAsiaTheme="majorEastAsia" w:hAnsiTheme="majorHAnsi" w:cstheme="majorBidi"/>
      <w:spacing w:val="-10"/>
      <w:kern w:val="28"/>
      <w:sz w:val="56"/>
      <w:szCs w:val="56"/>
    </w:rPr>
  </w:style>
  <w:style w:type="paragraph" w:customStyle="1" w:styleId="SubHeading1">
    <w:name w:val="Sub Heading 1"/>
    <w:basedOn w:val="Heading2"/>
    <w:next w:val="Heading2"/>
    <w:link w:val="SubHeading1KAR"/>
    <w:qFormat/>
    <w:rsid w:val="00BD040A"/>
    <w:pPr>
      <w:spacing w:before="0" w:line="240" w:lineRule="auto"/>
    </w:pPr>
    <w:rPr>
      <w:rFonts w:ascii="Candara" w:hAnsi="Candara"/>
      <w:b/>
      <w:color w:val="auto"/>
      <w:sz w:val="24"/>
    </w:rPr>
  </w:style>
  <w:style w:type="character" w:customStyle="1" w:styleId="HeadingKAR">
    <w:name w:val="Heading KAR"/>
    <w:basedOn w:val="Heading1Char"/>
    <w:link w:val="Heading"/>
    <w:rsid w:val="00BD040A"/>
    <w:rPr>
      <w:rFonts w:ascii="Candara" w:eastAsiaTheme="majorEastAsia" w:hAnsi="Candara" w:cstheme="majorBidi"/>
      <w:b/>
      <w:caps/>
      <w:sz w:val="24"/>
      <w:szCs w:val="24"/>
    </w:rPr>
  </w:style>
  <w:style w:type="paragraph" w:customStyle="1" w:styleId="Paragraph">
    <w:name w:val="Paragraph"/>
    <w:basedOn w:val="Normal"/>
    <w:next w:val="Normal"/>
    <w:link w:val="ParagraphKAR"/>
    <w:qFormat/>
    <w:rsid w:val="00BD040A"/>
    <w:pPr>
      <w:spacing w:after="0" w:line="240" w:lineRule="auto"/>
      <w:ind w:firstLine="567"/>
      <w:jc w:val="both"/>
    </w:pPr>
    <w:rPr>
      <w:rFonts w:ascii="Candara" w:hAnsi="Candara"/>
      <w:sz w:val="24"/>
    </w:rPr>
  </w:style>
  <w:style w:type="character" w:customStyle="1" w:styleId="Heading2Char">
    <w:name w:val="Heading 2 Char"/>
    <w:basedOn w:val="DefaultParagraphFont"/>
    <w:link w:val="Heading2"/>
    <w:uiPriority w:val="9"/>
    <w:semiHidden/>
    <w:rsid w:val="00BD040A"/>
    <w:rPr>
      <w:rFonts w:asciiTheme="majorHAnsi" w:eastAsiaTheme="majorEastAsia" w:hAnsiTheme="majorHAnsi" w:cstheme="majorBidi"/>
      <w:color w:val="2F5496" w:themeColor="accent1" w:themeShade="BF"/>
      <w:sz w:val="26"/>
      <w:szCs w:val="26"/>
    </w:rPr>
  </w:style>
  <w:style w:type="character" w:customStyle="1" w:styleId="SubHeading1KAR">
    <w:name w:val="Sub Heading 1 KAR"/>
    <w:basedOn w:val="Heading2Char"/>
    <w:link w:val="SubHeading1"/>
    <w:rsid w:val="00BD040A"/>
    <w:rPr>
      <w:rFonts w:ascii="Candara" w:eastAsiaTheme="majorEastAsia" w:hAnsi="Candara" w:cstheme="majorBidi"/>
      <w:b/>
      <w:color w:val="2F5496" w:themeColor="accent1" w:themeShade="BF"/>
      <w:sz w:val="24"/>
      <w:szCs w:val="26"/>
    </w:rPr>
  </w:style>
  <w:style w:type="paragraph" w:customStyle="1" w:styleId="SubHeading2">
    <w:name w:val="Sub Heading 2"/>
    <w:basedOn w:val="Heading3"/>
    <w:next w:val="Heading3"/>
    <w:link w:val="SubHeading2KAR"/>
    <w:qFormat/>
    <w:rsid w:val="00BD040A"/>
    <w:pPr>
      <w:spacing w:before="0" w:line="240" w:lineRule="auto"/>
      <w:ind w:left="284" w:hanging="284"/>
      <w:jc w:val="both"/>
    </w:pPr>
    <w:rPr>
      <w:rFonts w:ascii="Candara" w:hAnsi="Candara"/>
      <w:i/>
      <w:color w:val="auto"/>
    </w:rPr>
  </w:style>
  <w:style w:type="character" w:customStyle="1" w:styleId="ParagraphKAR">
    <w:name w:val="Paragraph KAR"/>
    <w:basedOn w:val="DefaultParagraphFont"/>
    <w:link w:val="Paragraph"/>
    <w:rsid w:val="00BD040A"/>
    <w:rPr>
      <w:rFonts w:ascii="Candara" w:hAnsi="Candara"/>
      <w:sz w:val="24"/>
    </w:rPr>
  </w:style>
  <w:style w:type="paragraph" w:customStyle="1" w:styleId="Kutipan1">
    <w:name w:val="Kutipan1"/>
    <w:basedOn w:val="Quote"/>
    <w:link w:val="QuoteKAR"/>
    <w:qFormat/>
    <w:rsid w:val="00934AC7"/>
    <w:pPr>
      <w:spacing w:before="0" w:after="0" w:line="240" w:lineRule="auto"/>
    </w:pPr>
    <w:rPr>
      <w:rFonts w:ascii="Candara" w:hAnsi="Candara"/>
      <w:color w:val="auto"/>
    </w:rPr>
  </w:style>
  <w:style w:type="character" w:customStyle="1" w:styleId="Heading3Char">
    <w:name w:val="Heading 3 Char"/>
    <w:basedOn w:val="DefaultParagraphFont"/>
    <w:link w:val="Heading3"/>
    <w:uiPriority w:val="9"/>
    <w:semiHidden/>
    <w:rsid w:val="00BD040A"/>
    <w:rPr>
      <w:rFonts w:asciiTheme="majorHAnsi" w:eastAsiaTheme="majorEastAsia" w:hAnsiTheme="majorHAnsi" w:cstheme="majorBidi"/>
      <w:color w:val="1F3763" w:themeColor="accent1" w:themeShade="7F"/>
      <w:sz w:val="24"/>
      <w:szCs w:val="24"/>
    </w:rPr>
  </w:style>
  <w:style w:type="character" w:customStyle="1" w:styleId="SubHeading2KAR">
    <w:name w:val="Sub Heading 2 KAR"/>
    <w:basedOn w:val="Heading3Char"/>
    <w:link w:val="SubHeading2"/>
    <w:rsid w:val="00BD040A"/>
    <w:rPr>
      <w:rFonts w:ascii="Candara" w:eastAsiaTheme="majorEastAsia" w:hAnsi="Candara" w:cstheme="majorBidi"/>
      <w:i/>
      <w:color w:val="1F3763" w:themeColor="accent1" w:themeShade="7F"/>
      <w:sz w:val="24"/>
      <w:szCs w:val="24"/>
    </w:rPr>
  </w:style>
  <w:style w:type="paragraph" w:customStyle="1" w:styleId="NoSpaciIndent">
    <w:name w:val="No Spaci &amp; Indent"/>
    <w:basedOn w:val="Paragraph"/>
    <w:link w:val="NoSpaciIndentKAR"/>
    <w:qFormat/>
    <w:rsid w:val="001C0FDA"/>
    <w:pPr>
      <w:ind w:firstLine="0"/>
    </w:pPr>
  </w:style>
  <w:style w:type="paragraph" w:styleId="Quote">
    <w:name w:val="Quote"/>
    <w:basedOn w:val="Normal"/>
    <w:next w:val="Normal"/>
    <w:link w:val="QuoteChar"/>
    <w:uiPriority w:val="29"/>
    <w:rsid w:val="00934AC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34AC7"/>
    <w:rPr>
      <w:i/>
      <w:iCs/>
      <w:color w:val="404040" w:themeColor="text1" w:themeTint="BF"/>
    </w:rPr>
  </w:style>
  <w:style w:type="character" w:customStyle="1" w:styleId="QuoteKAR">
    <w:name w:val="Quote KAR"/>
    <w:basedOn w:val="QuoteChar"/>
    <w:link w:val="Kutipan1"/>
    <w:rsid w:val="00934AC7"/>
    <w:rPr>
      <w:rFonts w:ascii="Candara" w:hAnsi="Candara"/>
      <w:i/>
      <w:iCs/>
      <w:color w:val="404040" w:themeColor="text1" w:themeTint="BF"/>
    </w:rPr>
  </w:style>
  <w:style w:type="paragraph" w:customStyle="1" w:styleId="References">
    <w:name w:val="References"/>
    <w:basedOn w:val="Bibliography"/>
    <w:link w:val="ReferencesKAR"/>
    <w:qFormat/>
    <w:rsid w:val="001C0FDA"/>
    <w:pPr>
      <w:spacing w:after="0" w:line="240" w:lineRule="auto"/>
      <w:ind w:left="567" w:hanging="567"/>
      <w:jc w:val="both"/>
    </w:pPr>
    <w:rPr>
      <w:rFonts w:ascii="Candara" w:hAnsi="Candara"/>
      <w:sz w:val="24"/>
    </w:rPr>
  </w:style>
  <w:style w:type="character" w:customStyle="1" w:styleId="NoSpaciIndentKAR">
    <w:name w:val="No Spaci &amp; Indent KAR"/>
    <w:basedOn w:val="ParagraphKAR"/>
    <w:link w:val="NoSpaciIndent"/>
    <w:rsid w:val="001C0FDA"/>
    <w:rPr>
      <w:rFonts w:ascii="Candara" w:hAnsi="Candara"/>
      <w:sz w:val="24"/>
    </w:rPr>
  </w:style>
  <w:style w:type="paragraph" w:styleId="Bibliography">
    <w:name w:val="Bibliography"/>
    <w:basedOn w:val="Normal"/>
    <w:next w:val="Normal"/>
    <w:link w:val="BibliographyChar"/>
    <w:uiPriority w:val="37"/>
    <w:semiHidden/>
    <w:unhideWhenUsed/>
    <w:rsid w:val="001C0FDA"/>
  </w:style>
  <w:style w:type="character" w:customStyle="1" w:styleId="BibliographyChar">
    <w:name w:val="Bibliography Char"/>
    <w:basedOn w:val="DefaultParagraphFont"/>
    <w:link w:val="Bibliography"/>
    <w:uiPriority w:val="37"/>
    <w:semiHidden/>
    <w:rsid w:val="001C0FDA"/>
  </w:style>
  <w:style w:type="character" w:customStyle="1" w:styleId="ReferencesKAR">
    <w:name w:val="References KAR"/>
    <w:basedOn w:val="BibliographyChar"/>
    <w:link w:val="References"/>
    <w:rsid w:val="001C0FDA"/>
    <w:rPr>
      <w:rFonts w:ascii="Candara" w:hAnsi="Candara"/>
      <w:sz w:val="24"/>
    </w:rPr>
  </w:style>
  <w:style w:type="character" w:customStyle="1" w:styleId="ListParagraphChar">
    <w:name w:val="List Paragraph Char"/>
    <w:link w:val="ListParagraph"/>
    <w:uiPriority w:val="34"/>
    <w:locked/>
    <w:rsid w:val="005C22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313999">
      <w:bodyDiv w:val="1"/>
      <w:marLeft w:val="0"/>
      <w:marRight w:val="0"/>
      <w:marTop w:val="0"/>
      <w:marBottom w:val="0"/>
      <w:divBdr>
        <w:top w:val="none" w:sz="0" w:space="0" w:color="auto"/>
        <w:left w:val="none" w:sz="0" w:space="0" w:color="auto"/>
        <w:bottom w:val="none" w:sz="0" w:space="0" w:color="auto"/>
        <w:right w:val="none" w:sz="0" w:space="0" w:color="auto"/>
      </w:divBdr>
    </w:div>
    <w:div w:id="727612921">
      <w:bodyDiv w:val="1"/>
      <w:marLeft w:val="0"/>
      <w:marRight w:val="0"/>
      <w:marTop w:val="0"/>
      <w:marBottom w:val="0"/>
      <w:divBdr>
        <w:top w:val="none" w:sz="0" w:space="0" w:color="auto"/>
        <w:left w:val="none" w:sz="0" w:space="0" w:color="auto"/>
        <w:bottom w:val="none" w:sz="0" w:space="0" w:color="auto"/>
        <w:right w:val="none" w:sz="0" w:space="0" w:color="auto"/>
      </w:divBdr>
    </w:div>
    <w:div w:id="808746338">
      <w:bodyDiv w:val="1"/>
      <w:marLeft w:val="0"/>
      <w:marRight w:val="0"/>
      <w:marTop w:val="0"/>
      <w:marBottom w:val="0"/>
      <w:divBdr>
        <w:top w:val="none" w:sz="0" w:space="0" w:color="auto"/>
        <w:left w:val="none" w:sz="0" w:space="0" w:color="auto"/>
        <w:bottom w:val="none" w:sz="0" w:space="0" w:color="auto"/>
        <w:right w:val="none" w:sz="0" w:space="0" w:color="auto"/>
      </w:divBdr>
    </w:div>
    <w:div w:id="986788378">
      <w:bodyDiv w:val="1"/>
      <w:marLeft w:val="0"/>
      <w:marRight w:val="0"/>
      <w:marTop w:val="0"/>
      <w:marBottom w:val="0"/>
      <w:divBdr>
        <w:top w:val="none" w:sz="0" w:space="0" w:color="auto"/>
        <w:left w:val="none" w:sz="0" w:space="0" w:color="auto"/>
        <w:bottom w:val="none" w:sz="0" w:space="0" w:color="auto"/>
        <w:right w:val="none" w:sz="0" w:space="0" w:color="auto"/>
      </w:divBdr>
    </w:div>
    <w:div w:id="1576938136">
      <w:bodyDiv w:val="1"/>
      <w:marLeft w:val="0"/>
      <w:marRight w:val="0"/>
      <w:marTop w:val="0"/>
      <w:marBottom w:val="0"/>
      <w:divBdr>
        <w:top w:val="none" w:sz="0" w:space="0" w:color="auto"/>
        <w:left w:val="none" w:sz="0" w:space="0" w:color="auto"/>
        <w:bottom w:val="none" w:sz="0" w:space="0" w:color="auto"/>
        <w:right w:val="none" w:sz="0" w:space="0" w:color="auto"/>
      </w:divBdr>
    </w:div>
    <w:div w:id="175513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3" Type="http://schemas.openxmlformats.org/officeDocument/2006/relationships/hyperlink" Target="http://creativecommons.org/licenses/by-sa/4.0/" TargetMode="External"/><Relationship Id="rId2" Type="http://schemas.openxmlformats.org/officeDocument/2006/relationships/image" Target="media/image3.png"/><Relationship Id="rId1" Type="http://schemas.openxmlformats.org/officeDocument/2006/relationships/hyperlink" Target="https://creativecommons.org/licenses/by-sa/4.0/"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48134037&amp;1&amp;&amp;" TargetMode="External"/><Relationship Id="rId2" Type="http://schemas.openxmlformats.org/officeDocument/2006/relationships/hyperlink" Target="https://search.crossref.org/?q=psikostudia" TargetMode="External"/><Relationship Id="rId1" Type="http://schemas.openxmlformats.org/officeDocument/2006/relationships/image" Target="media/image1.png"/><Relationship Id="rId4" Type="http://schemas.openxmlformats.org/officeDocument/2006/relationships/hyperlink" Target="http://issn.pdii.lipi.go.id/issn.cgi?daftar&amp;1344398087&amp;1&amp;&amp;"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6C142B3-3E03-49B4-9149-E18D92B9746F}">
  <we:reference id="wa104382081" version="1.55.1.0" store="en-US" storeType="OMEX"/>
  <we:alternateReferences>
    <we:reference id="wa104382081" version="1.55.1.0" store="wa104382081" storeType="OMEX"/>
  </we:alternateReferences>
  <we:properties>
    <we:property name="MENDELEY_CITATIONS" value="[]"/>
    <we:property name="MENDELEY_CITATIONS_STYLE" value="{&quot;id&quot;:&quot;https://www.zotero.org/styles/american-sociological-association&quot;,&quot;title&quot;:&quot;American Sociological Association 6th/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285246F4-E1F6-4F91-B423-2FF6DB7F6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672</TotalTime>
  <Pages>7</Pages>
  <Words>25761</Words>
  <Characters>146839</Characters>
  <Application>Microsoft Office Word</Application>
  <DocSecurity>0</DocSecurity>
  <Lines>1223</Lines>
  <Paragraphs>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Muhliansyah Psikostudia</dc:creator>
  <cp:keywords/>
  <dc:description/>
  <cp:lastModifiedBy>Khildah Majidah</cp:lastModifiedBy>
  <cp:revision>47</cp:revision>
  <dcterms:created xsi:type="dcterms:W3CDTF">2022-03-20T13:47:00Z</dcterms:created>
  <dcterms:modified xsi:type="dcterms:W3CDTF">2025-11-21T05:42:00Z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2ac13c0e-85f7-32e8-b571-a3f6f62b626d</vt:lpwstr>
  </property>
  <property fmtid="{D5CDD505-2E9C-101B-9397-08002B2CF9AE}" pid="4" name="Mendeley Citation Style_1">
    <vt:lpwstr>http://www.zotero.org/styles/american-sociological-association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