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13CA84">
      <w:pPr>
        <w:jc w:val="center"/>
        <w:rPr>
          <w:rFonts w:ascii="Times New Roman" w:hAnsi="Times New Roman" w:cs="Times New Roman"/>
          <w:b/>
          <w:kern w:val="36"/>
          <w:sz w:val="28"/>
          <w:szCs w:val="24"/>
          <w:lang w:eastAsia="id-ID"/>
        </w:rPr>
      </w:pPr>
      <w:r>
        <w:rPr>
          <w:rFonts w:ascii="Times New Roman" w:hAnsi="Times New Roman" w:cs="Times New Roman"/>
          <w:b/>
          <w:sz w:val="24"/>
        </w:rPr>
        <w:t>KINERJA KELEMBAGAAN HUTAN DESA MESALE DI DESA MALITU KECAMATAN POSO PESISIR SELATAN KABUPATEN POSO</w:t>
      </w:r>
    </w:p>
    <w:p w14:paraId="76FDFE05">
      <w:pPr>
        <w:spacing w:after="0" w:line="240" w:lineRule="auto"/>
        <w:jc w:val="center"/>
        <w:rPr>
          <w:rFonts w:ascii="Times New Roman" w:hAnsi="Times New Roman" w:cs="Times New Roman"/>
          <w:bCs/>
          <w:sz w:val="20"/>
          <w:szCs w:val="20"/>
          <w:vertAlign w:val="superscript"/>
        </w:rPr>
      </w:pPr>
      <w:r>
        <w:rPr>
          <w:rFonts w:ascii="Times New Roman" w:hAnsi="Times New Roman" w:cs="Times New Roman"/>
          <w:bCs/>
          <w:sz w:val="20"/>
          <w:szCs w:val="20"/>
        </w:rPr>
        <w:t>Mersi Tangkearung</w:t>
      </w:r>
      <w:r>
        <w:rPr>
          <w:rFonts w:ascii="Times New Roman" w:hAnsi="Times New Roman" w:cs="Times New Roman"/>
          <w:bCs/>
          <w:sz w:val="20"/>
          <w:szCs w:val="20"/>
          <w:vertAlign w:val="superscript"/>
        </w:rPr>
        <w:t>1*</w:t>
      </w:r>
      <w:r>
        <w:rPr>
          <w:rFonts w:ascii="Times New Roman" w:hAnsi="Times New Roman" w:cs="Times New Roman"/>
          <w:bCs/>
          <w:sz w:val="20"/>
          <w:szCs w:val="20"/>
        </w:rPr>
        <w:t>, Golar</w:t>
      </w:r>
      <w:r>
        <w:rPr>
          <w:rFonts w:ascii="Times New Roman" w:hAnsi="Times New Roman" w:cs="Times New Roman"/>
          <w:bCs/>
          <w:sz w:val="20"/>
          <w:szCs w:val="20"/>
          <w:vertAlign w:val="superscript"/>
        </w:rPr>
        <w:t>1</w:t>
      </w:r>
      <w:r>
        <w:rPr>
          <w:rFonts w:ascii="Times New Roman" w:hAnsi="Times New Roman" w:cs="Times New Roman"/>
          <w:bCs/>
          <w:sz w:val="20"/>
          <w:szCs w:val="20"/>
        </w:rPr>
        <w:t>, Arman Maiwa</w:t>
      </w:r>
      <w:r>
        <w:rPr>
          <w:rFonts w:ascii="Times New Roman" w:hAnsi="Times New Roman" w:cs="Times New Roman"/>
          <w:bCs/>
          <w:sz w:val="20"/>
          <w:szCs w:val="20"/>
          <w:vertAlign w:val="superscript"/>
        </w:rPr>
        <w:t>1</w:t>
      </w:r>
      <w:r>
        <w:rPr>
          <w:rFonts w:ascii="Times New Roman" w:hAnsi="Times New Roman" w:cs="Times New Roman"/>
          <w:bCs/>
          <w:sz w:val="20"/>
          <w:szCs w:val="20"/>
        </w:rPr>
        <w:t>, Imran Rachman</w:t>
      </w:r>
      <w:r>
        <w:rPr>
          <w:rFonts w:ascii="Times New Roman" w:hAnsi="Times New Roman" w:cs="Times New Roman"/>
          <w:bCs/>
          <w:sz w:val="20"/>
          <w:szCs w:val="20"/>
          <w:vertAlign w:val="superscript"/>
        </w:rPr>
        <w:t>1</w:t>
      </w:r>
      <w:r>
        <w:rPr>
          <w:rFonts w:ascii="Times New Roman" w:hAnsi="Times New Roman" w:cs="Times New Roman"/>
          <w:bCs/>
          <w:sz w:val="20"/>
          <w:szCs w:val="20"/>
        </w:rPr>
        <w:t>, Andi Sahri Alam</w:t>
      </w:r>
      <w:r>
        <w:rPr>
          <w:rFonts w:ascii="Times New Roman" w:hAnsi="Times New Roman" w:cs="Times New Roman"/>
          <w:bCs/>
          <w:sz w:val="20"/>
          <w:szCs w:val="20"/>
          <w:vertAlign w:val="superscript"/>
        </w:rPr>
        <w:t>1</w:t>
      </w:r>
      <w:r>
        <w:rPr>
          <w:rFonts w:ascii="Times New Roman" w:hAnsi="Times New Roman" w:cs="Times New Roman"/>
          <w:bCs/>
          <w:sz w:val="20"/>
          <w:szCs w:val="20"/>
        </w:rPr>
        <w:t>, Hamka</w:t>
      </w:r>
      <w:r>
        <w:rPr>
          <w:rFonts w:ascii="Times New Roman" w:hAnsi="Times New Roman" w:cs="Times New Roman"/>
          <w:bCs/>
          <w:sz w:val="20"/>
          <w:szCs w:val="20"/>
          <w:vertAlign w:val="superscript"/>
        </w:rPr>
        <w:t>1</w:t>
      </w:r>
    </w:p>
    <w:p w14:paraId="3504C2C1">
      <w:pPr>
        <w:spacing w:after="0" w:line="240" w:lineRule="auto"/>
        <w:jc w:val="center"/>
        <w:rPr>
          <w:rFonts w:ascii="Times New Roman" w:hAnsi="Times New Roman" w:cs="Times New Roman"/>
          <w:sz w:val="20"/>
          <w:szCs w:val="20"/>
        </w:rPr>
      </w:pPr>
      <w:r>
        <w:rPr>
          <w:rFonts w:ascii="Times New Roman" w:hAnsi="Times New Roman" w:cs="Times New Roman"/>
          <w:sz w:val="20"/>
          <w:szCs w:val="20"/>
          <w:vertAlign w:val="superscript"/>
        </w:rPr>
        <w:t>1</w:t>
      </w:r>
      <w:r>
        <w:rPr>
          <w:rFonts w:ascii="Times New Roman" w:hAnsi="Times New Roman" w:cs="Times New Roman"/>
          <w:sz w:val="20"/>
          <w:szCs w:val="20"/>
        </w:rPr>
        <w:t xml:space="preserve">Fakultas Kehutanan, Universitas Tadulako, Palu, Sulawesi Tengah, Indonesia, </w:t>
      </w:r>
    </w:p>
    <w:p w14:paraId="55A3657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Jl. Soekarno Hatta No.KM. 9, Tondo, Kec. Mantikulore, Kota Palu, Sulawesi Tengah 941482</w:t>
      </w:r>
      <w:r>
        <w:rPr>
          <w:rFonts w:ascii="Times New Roman" w:hAnsi="Times New Roman" w:cs="Times New Roman"/>
          <w:sz w:val="20"/>
          <w:szCs w:val="20"/>
          <w:vertAlign w:val="superscript"/>
        </w:rPr>
        <w:t>2</w:t>
      </w:r>
    </w:p>
    <w:p w14:paraId="7EB18BF7">
      <w:pPr>
        <w:spacing w:after="0" w:line="720" w:lineRule="auto"/>
        <w:jc w:val="center"/>
        <w:rPr>
          <w:rFonts w:ascii="Times New Roman" w:hAnsi="Times New Roman" w:cs="Times New Roman"/>
          <w:sz w:val="20"/>
          <w:szCs w:val="20"/>
        </w:rPr>
      </w:pPr>
      <w:r>
        <w:rPr>
          <w:rFonts w:ascii="Times New Roman" w:hAnsi="Times New Roman" w:cs="Times New Roman"/>
          <w:sz w:val="20"/>
          <w:szCs w:val="20"/>
        </w:rPr>
        <w:t xml:space="preserve">*E-mail: </w:t>
      </w:r>
      <w:r>
        <w:fldChar w:fldCharType="begin"/>
      </w:r>
      <w:r>
        <w:instrText xml:space="preserve"> HYPERLINK "mailto:mersytangkearung23@gmail.com" </w:instrText>
      </w:r>
      <w:r>
        <w:fldChar w:fldCharType="separate"/>
      </w:r>
      <w:r>
        <w:rPr>
          <w:rStyle w:val="7"/>
          <w:rFonts w:ascii="Times New Roman" w:hAnsi="Times New Roman" w:cs="Times New Roman"/>
          <w:sz w:val="20"/>
          <w:szCs w:val="20"/>
        </w:rPr>
        <w:t>mersytangkearung23@gmail.com</w:t>
      </w:r>
      <w:r>
        <w:rPr>
          <w:rStyle w:val="7"/>
          <w:rFonts w:ascii="Times New Roman" w:hAnsi="Times New Roman" w:cs="Times New Roman"/>
          <w:sz w:val="20"/>
          <w:szCs w:val="20"/>
        </w:rPr>
        <w:fldChar w:fldCharType="end"/>
      </w:r>
    </w:p>
    <w:p w14:paraId="298A3EDD">
      <w:pPr>
        <w:spacing w:after="0" w:line="240" w:lineRule="auto"/>
        <w:ind w:firstLine="720"/>
        <w:jc w:val="both"/>
        <w:rPr>
          <w:rFonts w:ascii="Times New Roman" w:hAnsi="Times New Roman" w:cs="Times New Roman"/>
          <w:b/>
          <w:iCs/>
          <w:sz w:val="24"/>
          <w:szCs w:val="24"/>
          <w:lang w:val="en-US"/>
        </w:rPr>
      </w:pPr>
    </w:p>
    <w:p w14:paraId="6162FE66">
      <w:pPr>
        <w:spacing w:after="0" w:line="480" w:lineRule="auto"/>
        <w:jc w:val="center"/>
        <w:rPr>
          <w:rFonts w:ascii="Times New Roman" w:hAnsi="Times New Roman" w:cs="Times New Roman"/>
          <w:b/>
          <w:iCs/>
          <w:sz w:val="24"/>
          <w:szCs w:val="24"/>
        </w:rPr>
      </w:pPr>
      <w:r>
        <w:rPr>
          <w:rFonts w:ascii="Times New Roman" w:hAnsi="Times New Roman" w:cs="Times New Roman"/>
          <w:b/>
          <w:iCs/>
          <w:sz w:val="24"/>
          <w:szCs w:val="24"/>
        </w:rPr>
        <w:t>ABSTRACT</w:t>
      </w:r>
    </w:p>
    <w:p w14:paraId="405622E3">
      <w:pPr>
        <w:ind w:firstLine="720"/>
        <w:jc w:val="both"/>
        <w:rPr>
          <w:rFonts w:ascii="Times New Roman" w:hAnsi="Times New Roman" w:cs="Times New Roman"/>
        </w:rPr>
      </w:pPr>
      <w:r>
        <w:rPr>
          <w:rFonts w:ascii="Times New Roman" w:hAnsi="Times New Roman" w:cs="Times New Roman"/>
        </w:rPr>
        <w:t>Social forestry is a forestry management mechanism that provides management space (access) to the community. The utilization of forests based on social forestry is adjusted to its function, namely production and protection, namely the provision of wood, non-wood products, and other environmental services. The application of the concept of social forestry in peat restoration is expected to increase the benefits of restoration for the community's economy and minimize environmental impacts. In addition, existing practices based on local wisdom in the community in managing peatlands without causing fires can be integrated with social forestry. The purpose of this study was to determine the institutional performance of the Mesale Village Forest and the factors that influence the Mesale Village Forest institution. The sampling technique used a non-probability sampling method that was determined intentionally (purposive sampling) for both location data and respondent samples with a sample size of 22 direct beneficiaries. This study used a quantitative descriptive method approach. After obtaining institutional administration data, group activities and institutional reporting from respondents, the data was then analyzed using the Likert Scale. The results of the study indicate that the institutional performance of the Mesale village forest is categorized as quite good, because the Malitu village community only understands the performance of forest utilization. Information provided by the assistants from the KPH, Village Head, Management and members of the Mesale LPHD stated that members only understand the planning of HD utilization and work plan programs. Every activity that has been listed in the Mesale LPHD work plan requires guidance and encouragement from various parties related to knowledge of administration and HD utilization. The main factor that influences institutional performance is the presence or absence of funding for the institution.</w:t>
      </w:r>
    </w:p>
    <w:p w14:paraId="1670E974">
      <w:pPr>
        <w:jc w:val="both"/>
        <w:rPr>
          <w:rFonts w:ascii="Times New Roman" w:hAnsi="Times New Roman" w:cs="Times New Roman"/>
        </w:rPr>
      </w:pPr>
      <w:r>
        <w:rPr>
          <w:rFonts w:ascii="Times New Roman" w:hAnsi="Times New Roman" w:cs="Times New Roman"/>
          <w:b/>
          <w:bCs/>
        </w:rPr>
        <w:t xml:space="preserve">Keyword: </w:t>
      </w:r>
      <w:r>
        <w:rPr>
          <w:rFonts w:ascii="Times New Roman" w:hAnsi="Times New Roman" w:cs="Times New Roman"/>
        </w:rPr>
        <w:t>Village Forest Management Institution (VFMI), Village Forest, Performance, Malitu Village</w:t>
      </w:r>
    </w:p>
    <w:p w14:paraId="32E92459">
      <w:pPr>
        <w:spacing w:after="0" w:line="480" w:lineRule="auto"/>
        <w:jc w:val="center"/>
        <w:rPr>
          <w:rFonts w:ascii="Times New Roman" w:hAnsi="Times New Roman" w:cs="Times New Roman"/>
          <w:b/>
          <w:iCs/>
          <w:sz w:val="24"/>
          <w:szCs w:val="24"/>
        </w:rPr>
      </w:pPr>
      <w:r>
        <w:rPr>
          <w:rFonts w:ascii="Times New Roman" w:hAnsi="Times New Roman" w:cs="Times New Roman"/>
          <w:b/>
          <w:iCs/>
          <w:sz w:val="24"/>
          <w:szCs w:val="24"/>
        </w:rPr>
        <w:t>ABSTRAK</w:t>
      </w:r>
    </w:p>
    <w:p w14:paraId="3524442C">
      <w:pPr>
        <w:pStyle w:val="4"/>
        <w:ind w:firstLine="567"/>
        <w:jc w:val="both"/>
      </w:pPr>
      <w:r>
        <w:t>Perhutanan sosial merupakan suatu mekanisme pengelolaan kehutanan yang memberikan ruang kelola (akses) kepada masyarakat. Pemanfaatan hutan berbasis perhutanan sosial disesuaikan dengan fungsinya yaitu produksi dan lindung yaitu penyediaan kayu, hasil bukan kayu, dan jasa lingkungan lainnya. Penerapan konsep perhutanan sosial dalam restorasi gambut diharapkan dapat meningkatkan manfaat restorasi bagi perekonomian masyarakat dan meminimalkan dampak lingkungan. Selain itu, praktik yang sudah ada berbasis kearifan lokal di masyarakat dalam mengelola lahan gambut tanpa menimbulkan kebakaran dapat diintegrasikan dengan perhutanan sosial. Tujuan penelitian ini adalah untuk mengetahui kinerja kelembagaan Hutan Desa Mesale dan faktor-faktor yang mempengaruhi kelembagaan Hutan Desa Mesale. Teknik pengambilan sampel menggunakan metode non-probability sampling yang ditetapkan secara sengaja (purposive sampling) baik untuk data lokasi maupun sampel responden dengan jumlah sampel sebanyak 22 orang penerima manfaat langsung. Penelitian ini menggunakan pendekatan metode deskriptif kuantitatif. Setelah diperoleh data administrasi kelembagaan, kegiatan kelompok dan pelaporan kelembagaan dari responden, data tersebut selanjutnya dianalisis dengan menggunakan Skala Likert.</w:t>
      </w:r>
      <w:r>
        <w:rPr>
          <w:lang w:val="en-US"/>
        </w:rPr>
        <w:t xml:space="preserve"> Hasil penelitian menunjukkan </w:t>
      </w:r>
      <w:r>
        <w:t xml:space="preserve">bahwa  Kinerja kelembagaan hutan desa Mesale tergolong kategori  </w:t>
      </w:r>
      <w:r>
        <w:rPr>
          <w:lang w:val="sv-SE"/>
        </w:rPr>
        <w:t>cukup baik</w:t>
      </w:r>
      <w:r>
        <w:t>, dikarenakan masyarakat desa Malitu hanya memahami kinerja pada pemanfaatan hutan.</w:t>
      </w:r>
      <w:r>
        <w:rPr>
          <w:lang w:val="sv-SE"/>
        </w:rPr>
        <w:t xml:space="preserve"> </w:t>
      </w:r>
      <w:r>
        <w:t>Informasi yang diberikan oleh pendamping dari KPH, Kepala Desa, Pengurus dan anggota LPHD Mesale menyatakan bahwa anggota hanya memahami akan perencanaan pemanfaatan HD dan program rencana kerja. Setiap kegiatan yang sudah tercantum pada rencana kerja LPHD Mesale memerlukan pembinaan dan dorongan dari berbagai pihak terkait pengetahuan administrasi dan pemanfaatan HD.</w:t>
      </w:r>
      <w:r>
        <w:rPr>
          <w:lang w:val="en-US"/>
        </w:rPr>
        <w:t xml:space="preserve"> </w:t>
      </w:r>
      <w:r>
        <w:t>Faktor</w:t>
      </w:r>
      <w:r>
        <w:rPr>
          <w:lang w:val="en-US"/>
        </w:rPr>
        <w:t xml:space="preserve"> utama</w:t>
      </w:r>
      <w:r>
        <w:t xml:space="preserve"> yang mempengaruhi kinerja kelembagaan yaitu ada tidaknya pendanaan terhadap lembaga. </w:t>
      </w:r>
    </w:p>
    <w:p w14:paraId="097BA942">
      <w:pPr>
        <w:spacing w:before="240"/>
        <w:jc w:val="both"/>
        <w:rPr>
          <w:rFonts w:ascii="Times New Roman" w:hAnsi="Times New Roman" w:cs="Times New Roman"/>
          <w:sz w:val="20"/>
          <w:szCs w:val="20"/>
        </w:rPr>
      </w:pPr>
      <w:r>
        <w:rPr>
          <w:rFonts w:ascii="Times New Roman" w:hAnsi="Times New Roman" w:cs="Times New Roman"/>
          <w:b/>
          <w:bCs/>
          <w:sz w:val="20"/>
          <w:szCs w:val="20"/>
        </w:rPr>
        <w:t xml:space="preserve">Kata kunci: </w:t>
      </w:r>
      <w:r>
        <w:rPr>
          <w:rFonts w:ascii="Times New Roman" w:hAnsi="Times New Roman" w:cs="Times New Roman"/>
          <w:sz w:val="20"/>
          <w:szCs w:val="20"/>
        </w:rPr>
        <w:t>Lembaga Pengelola Hutan Desa (LPHD), Hutan Desa, Kinerja, Desa Malitu</w:t>
      </w:r>
    </w:p>
    <w:p w14:paraId="3B737A38">
      <w:pPr>
        <w:spacing w:line="240" w:lineRule="auto"/>
        <w:rPr>
          <w:rFonts w:ascii="Times New Roman" w:hAnsi="Times New Roman" w:cs="Times New Roman"/>
          <w:b/>
          <w:iCs/>
          <w:sz w:val="24"/>
          <w:szCs w:val="24"/>
        </w:rPr>
      </w:pPr>
      <w:r>
        <w:rPr>
          <w:rFonts w:ascii="Times New Roman" w:hAnsi="Times New Roman" w:cs="Times New Roman"/>
          <w:b/>
          <w:iCs/>
          <w:sz w:val="24"/>
          <w:szCs w:val="24"/>
        </w:rPr>
        <w:t>PENDAHULUAN</w:t>
      </w:r>
    </w:p>
    <w:p w14:paraId="31CD6A17">
      <w:pPr>
        <w:spacing w:after="0" w:line="360" w:lineRule="auto"/>
        <w:ind w:firstLine="567"/>
        <w:jc w:val="both"/>
        <w:rPr>
          <w:rFonts w:ascii="Times New Roman" w:hAnsi="Times New Roman" w:cs="Times New Roman"/>
        </w:rPr>
        <w:sectPr>
          <w:pgSz w:w="11906" w:h="16838"/>
          <w:pgMar w:top="1440" w:right="1440" w:bottom="1440" w:left="1440" w:header="708" w:footer="708" w:gutter="0"/>
          <w:cols w:space="708" w:num="1"/>
          <w:docGrid w:linePitch="360" w:charSpace="0"/>
        </w:sectPr>
      </w:pPr>
    </w:p>
    <w:p w14:paraId="14A80250">
      <w:pPr>
        <w:spacing w:after="0" w:line="240" w:lineRule="auto"/>
        <w:ind w:firstLine="567"/>
        <w:jc w:val="both"/>
        <w:rPr>
          <w:rFonts w:ascii="Times New Roman" w:hAnsi="Times New Roman" w:cs="Times New Roman"/>
          <w:lang w:val="sv-SE"/>
        </w:rPr>
      </w:pPr>
      <w:r>
        <w:rPr>
          <w:rFonts w:ascii="Times New Roman" w:hAnsi="Times New Roman" w:cs="Times New Roman"/>
        </w:rPr>
        <w:t xml:space="preserve">Undang-undang Nomor 18 Tahun 2013, bahwa hutan sebagai sumberdaya alam memberikan manfaat besar bagi kesejahteraan masyarakat, manfaat baik secara langsung, maupun manfaat tidak langsung. Manfaat langsung hutan antara lain menghasilkan kayu untuk keperluan pertukangan maupun bahan pulp dan kertas, tempat hidup satwa, dan lain-lain. Manfaat tidak langsung digunakan sebagai tempat ekowisata dan penyedia oksigen. Keberhasilan pengelolaan hutan tidak terlepas dari peranan masyarakat yang berada disekitar hutan. Dalam rangka memperoleh manfaat yang optimal dari hutan dan kawasan hutan bagi kesejahteraan rakyat,maka pada prinsipnya semua hutan dan kawasan hutan dapat dimanfaatkan dengan tetap memperhatikan sifat, karakteristik, dan kerentanannya, serta tidak diperbolehkan mengubah fungsi utamanya (Mitchell, Setiawan, &amp; Rahmi, 2003). </w:t>
      </w:r>
      <w:r>
        <w:rPr>
          <w:rFonts w:ascii="Times New Roman" w:hAnsi="Times New Roman" w:cs="Times New Roman"/>
          <w:lang w:val="sv-SE"/>
        </w:rPr>
        <w:t xml:space="preserve">Di Indonesia, konsep social forestry telah mulai diterapkan sejak tahun 1989 dalam berbagai bentuk (Abdurrachman 2003; Wulandari and Inoue 2018). Saat ini, konsep social forestry di Indonesia diterapkan dalam program pemerintah yaitu ‘Perhutanan Sosial’ yang dicetuskan berdasarkan Peraturan Menteri LHK Nomor 83 tahun 2016. Tujuan pembangunan perhutanan sosial adalah meningkatkan partisipasi masyarakat sekitar dalam rangka mengelola hutan untuk meningkatkan taraf hidup masyarakat sekitar Fito, </w:t>
      </w:r>
      <w:r>
        <w:rPr>
          <w:rFonts w:ascii="Times New Roman" w:hAnsi="Times New Roman" w:cs="Times New Roman"/>
          <w:i/>
          <w:iCs/>
          <w:lang w:val="sv-SE"/>
        </w:rPr>
        <w:t>et al</w:t>
      </w:r>
      <w:r>
        <w:rPr>
          <w:rFonts w:ascii="Times New Roman" w:hAnsi="Times New Roman" w:cs="Times New Roman"/>
          <w:lang w:val="sv-SE"/>
        </w:rPr>
        <w:t xml:space="preserve"> (2020).</w:t>
      </w:r>
    </w:p>
    <w:p w14:paraId="4058ACDD">
      <w:pPr>
        <w:spacing w:after="0" w:line="240" w:lineRule="auto"/>
        <w:ind w:firstLine="426"/>
        <w:jc w:val="both"/>
        <w:rPr>
          <w:rFonts w:ascii="Times New Roman" w:hAnsi="Times New Roman" w:cs="Times New Roman"/>
          <w:lang w:val="sv-SE"/>
        </w:rPr>
      </w:pPr>
      <w:r>
        <w:rPr>
          <w:rFonts w:ascii="Times New Roman" w:hAnsi="Times New Roman" w:cs="Times New Roman"/>
          <w:lang w:val="sv-SE"/>
        </w:rPr>
        <w:t>Pemerintah memberikan wadah kepada masyarakat dalam pengaturan hutan secara koorperatif melalui perhutanan sosial yang di dalamnya terdapat beberapa skema berupa hutan kemasyarakatan, hutan desa, hutan tanaman rakyat, hutan adat dan kemitraan. Tujuan pembangunan perhutanan sosial adalah meningkatkan partisipasi masyarakat sekitar dalam rangka mengelola hutan untuk meningkatkan taraf hidup masyarakat sekitar Fito, dkk(2020).</w:t>
      </w:r>
      <w:r>
        <w:rPr>
          <w:rFonts w:ascii="Times New Roman" w:hAnsi="Times New Roman" w:cs="Times New Roman"/>
          <w:sz w:val="20"/>
          <w:szCs w:val="20"/>
          <w:lang w:val="sv-SE"/>
        </w:rPr>
        <w:t xml:space="preserve"> </w:t>
      </w:r>
      <w:r>
        <w:rPr>
          <w:rFonts w:ascii="Times New Roman" w:hAnsi="Times New Roman" w:cs="Times New Roman"/>
          <w:lang w:val="sv-SE"/>
        </w:rPr>
        <w:t xml:space="preserve">Laksemi </w:t>
      </w:r>
      <w:r>
        <w:rPr>
          <w:rFonts w:ascii="Times New Roman" w:hAnsi="Times New Roman" w:cs="Times New Roman"/>
          <w:i/>
          <w:iCs/>
          <w:lang w:val="sv-SE"/>
        </w:rPr>
        <w:t>et al</w:t>
      </w:r>
      <w:r>
        <w:rPr>
          <w:rFonts w:ascii="Times New Roman" w:hAnsi="Times New Roman" w:cs="Times New Roman"/>
          <w:lang w:val="sv-SE"/>
        </w:rPr>
        <w:t>.(2019) bahwa P.83/Menhut-II/2016 menjadi dasar hukum pelaksanaan perhutanan sosial. Berdasarkan Peraturan tersebut, Hutan Desa (HD) merupakan salah satu skema dari perhutanan sosial. Masyarakat sekitar kawasan hutan dalam hal ini HD berperan serta dalam penyelenggaraan HD memiliki tujuan untuk meningkatkan kesejahteraan desa (Abidin et al. 2016).</w:t>
      </w:r>
    </w:p>
    <w:p w14:paraId="24EC7733">
      <w:pPr>
        <w:spacing w:after="0" w:line="240" w:lineRule="auto"/>
        <w:ind w:firstLine="426"/>
        <w:jc w:val="both"/>
        <w:rPr>
          <w:rFonts w:ascii="Times New Roman" w:hAnsi="Times New Roman" w:cs="Times New Roman"/>
          <w:lang w:val="sv-SE"/>
        </w:rPr>
      </w:pPr>
      <w:r>
        <w:rPr>
          <w:rFonts w:ascii="Times New Roman" w:hAnsi="Times New Roman" w:cs="Times New Roman"/>
        </w:rPr>
        <w:t xml:space="preserve">Perhutanan sosial merupakan mekanisme pengelolaan kehutanan yang memberikan ruang kelola (akses) kepada masyarakat. </w:t>
      </w:r>
      <w:r>
        <w:rPr>
          <w:rFonts w:ascii="Times New Roman" w:hAnsi="Times New Roman" w:cs="Times New Roman"/>
          <w:lang w:val="sv-SE"/>
        </w:rPr>
        <w:t>Pemanfaatan hutan berdasarkan perhutanan sosial disesuaikan dengan fungsinya yaitu produksi dan lindung; yaitu menyediakan produk kayu, non kayu, dan jasa lingkungan lainnya. Adopsi konsep perhutanan sosial dalam restorasi gambut diharapkan dapat meningkatkan manfaat restorasi bagi ekonomi masyarakat dan meminimal dampak lingkungan. Selain itu praktik-praktik yang telah tersedia berbasiskan kearifan lokal di masyarakat dalam mengelola lahan gambut tanpa menyebabkan kebakaran, dapat diintegrasikan dengan perhutanan sosial.(Haris dan dian 2019).</w:t>
      </w:r>
    </w:p>
    <w:p w14:paraId="1EA59BFF">
      <w:pPr>
        <w:spacing w:after="0" w:line="240" w:lineRule="auto"/>
        <w:ind w:firstLine="426"/>
        <w:jc w:val="both"/>
        <w:rPr>
          <w:rFonts w:ascii="Times New Roman" w:hAnsi="Times New Roman" w:cs="Times New Roman"/>
          <w:lang w:val="sv-SE"/>
        </w:rPr>
      </w:pPr>
      <w:r>
        <w:rPr>
          <w:rFonts w:ascii="Times New Roman" w:hAnsi="Times New Roman" w:cs="Times New Roman"/>
          <w:lang w:val="sv-SE"/>
        </w:rPr>
        <w:t xml:space="preserve">Kelembagaan memiliki peran yang penting dalam menunjang pengelolaan Hutan Desa. Pada umumnya sistem pengelolaan hutan desa menganut sistem pengelolaan mandiri. </w:t>
      </w:r>
      <w:r>
        <w:rPr>
          <w:rFonts w:ascii="Times New Roman" w:hAnsi="Times New Roman" w:cs="Times New Roman"/>
          <w:bCs/>
          <w:iCs/>
          <w:szCs w:val="20"/>
          <w:lang w:val="sv-SE"/>
        </w:rPr>
        <w:t>Kelembagaan bertujuan sebagai wadah ataupun tempat yang mencakup aturan, etika, dan kode etik dalam kelompok yang berfungsi untuk mengakomodir suatu kegiatan. Kelembagaan dalam prosesnya disesuaikan berdasarkan tujuan yang akan disampaikan sesuai bidang yang dituju, salah satunya kelembagaan dalam pengelolaan hutan (Noor, 2014).</w:t>
      </w:r>
    </w:p>
    <w:p w14:paraId="525E4F84">
      <w:pPr>
        <w:pStyle w:val="9"/>
        <w:spacing w:line="240" w:lineRule="auto"/>
        <w:ind w:left="0" w:firstLine="720"/>
        <w:jc w:val="both"/>
        <w:rPr>
          <w:rFonts w:ascii="Times New Roman" w:hAnsi="Times New Roman" w:cs="Times New Roman"/>
          <w:lang w:val="sv-SE"/>
        </w:rPr>
      </w:pPr>
      <w:r>
        <w:rPr>
          <w:rFonts w:ascii="Times New Roman" w:hAnsi="Times New Roman" w:cs="Times New Roman"/>
          <w:lang w:val="sv-SE"/>
        </w:rPr>
        <w:t>Qurniati et al. (2017) menjelaskan LPHD merupakan media untuk masyarakat menjalankan sistem pengelolaan hutan dan bertanggung jawab untuk menjaga kelestarian hutan yang dikelola. Hasil penelitian Fito Apriandana,dkk (2020) menyatakan bahwa salah satu kelemahan belum efektifnya kinerja lembaga dikarenakan pembinaan terhadap masyarakat belum efektif dilakukan terkait  peluang pemasaran hasil hutan, dan juga belum memiliki rencana kerjasama dengan mitra berbagai usahawan dalam pemasaran. Penelitian (Triambodo dan Damanik, 2015) mengungkapkan keberadaan kelembagaan dapat berperan sebagai wadah sekaligus penggerak dalam memfasilitasi dan mengembangkan  partisipasi masyarakat dalam berbagai bidang.</w:t>
      </w:r>
    </w:p>
    <w:p w14:paraId="071D588B">
      <w:pPr>
        <w:pStyle w:val="9"/>
        <w:spacing w:line="240" w:lineRule="auto"/>
        <w:ind w:left="0" w:firstLine="284"/>
        <w:jc w:val="both"/>
        <w:rPr>
          <w:rFonts w:ascii="Times New Roman" w:hAnsi="Times New Roman" w:cs="Times New Roman"/>
          <w:lang w:val="sv-SE"/>
        </w:rPr>
      </w:pPr>
      <w:r>
        <w:rPr>
          <w:rFonts w:ascii="Times New Roman" w:hAnsi="Times New Roman" w:cs="Times New Roman"/>
          <w:lang w:val="sv-SE"/>
        </w:rPr>
        <w:t>LPHD Mesale telah dibentuk  sejak tahun 2022 berdasarakan Surat  Keputusan Menteri Lingkungan Hidup dan Kehutanan Nomor 10256/MENLHK-PSKL/PKPS/PSL.0/12/2022 yang berada pada Kawasan hutan produksi tetap dengan luas 1.131 Ha. Kesatuan Pengelolaan Hutan (KPH) Sintuwu Maroso memfasilitasi Hutan Desa Mesale. Hutan Desa hadir untuk mensejahterakan Desa,  Keberhasilan pengelolaan Hutan Desa Mesale tidak lepas dari Kinerja Pemerintah dan Masyarakat  Desa. Penilaian atau evaluasi mengenai kondisi pengelolaan Hutan Desa Mesale dilakukan dengan mempertimbangkan dinamika perubahan, baik dari segi kelembagaan, kondisi dan tutupan lahan serta sosial masyarakat di sekitar hutan. Namun demikian, apakah perhutanan sosial benar-benar berkontribusi terhadap pemberdayaan masyarakat di sekitar hutan dan berjalan dengan baik, maka dari itu perlu dilakukan penelitian terkait kinerja kelembagaam Hutan Desa pada skema Perhutanan Sosial.</w:t>
      </w:r>
    </w:p>
    <w:p w14:paraId="0C88B4EA">
      <w:pPr>
        <w:spacing w:line="240" w:lineRule="auto"/>
        <w:jc w:val="both"/>
        <w:rPr>
          <w:rFonts w:ascii="Times New Roman" w:hAnsi="Times New Roman" w:cs="Times New Roman"/>
          <w:b/>
          <w:iCs/>
          <w:sz w:val="24"/>
          <w:szCs w:val="24"/>
        </w:rPr>
      </w:pPr>
      <w:r>
        <w:rPr>
          <w:rFonts w:ascii="Times New Roman" w:hAnsi="Times New Roman" w:cs="Times New Roman"/>
          <w:b/>
          <w:iCs/>
          <w:sz w:val="24"/>
          <w:szCs w:val="24"/>
        </w:rPr>
        <w:t>METODE PENELITIAN</w:t>
      </w:r>
    </w:p>
    <w:p w14:paraId="739123AF">
      <w:pPr>
        <w:widowControl w:val="0"/>
        <w:tabs>
          <w:tab w:val="left" w:pos="426"/>
        </w:tabs>
        <w:autoSpaceDE w:val="0"/>
        <w:autoSpaceDN w:val="0"/>
        <w:spacing w:after="0" w:line="360" w:lineRule="auto"/>
        <w:ind w:left="567" w:hanging="567"/>
        <w:jc w:val="both"/>
        <w:rPr>
          <w:rFonts w:ascii="Times New Roman" w:hAnsi="Times New Roman" w:cs="Times New Roman"/>
          <w:bCs/>
          <w:i/>
          <w:iCs/>
        </w:rPr>
      </w:pPr>
      <w:r>
        <w:rPr>
          <w:rFonts w:ascii="Times New Roman" w:hAnsi="Times New Roman" w:cs="Times New Roman"/>
          <w:bCs/>
          <w:i/>
          <w:iCs/>
        </w:rPr>
        <w:t>Waktu</w:t>
      </w:r>
      <w:r>
        <w:rPr>
          <w:rFonts w:ascii="Times New Roman" w:hAnsi="Times New Roman" w:cs="Times New Roman"/>
          <w:bCs/>
          <w:i/>
          <w:iCs/>
          <w:spacing w:val="-3"/>
        </w:rPr>
        <w:t xml:space="preserve"> </w:t>
      </w:r>
      <w:r>
        <w:rPr>
          <w:rFonts w:ascii="Times New Roman" w:hAnsi="Times New Roman" w:cs="Times New Roman"/>
          <w:bCs/>
          <w:i/>
          <w:iCs/>
        </w:rPr>
        <w:t>dan</w:t>
      </w:r>
      <w:r>
        <w:rPr>
          <w:rFonts w:ascii="Times New Roman" w:hAnsi="Times New Roman" w:cs="Times New Roman"/>
          <w:bCs/>
          <w:i/>
          <w:iCs/>
          <w:spacing w:val="-2"/>
        </w:rPr>
        <w:t xml:space="preserve"> </w:t>
      </w:r>
      <w:r>
        <w:rPr>
          <w:rFonts w:ascii="Times New Roman" w:hAnsi="Times New Roman" w:cs="Times New Roman"/>
          <w:bCs/>
          <w:i/>
          <w:iCs/>
        </w:rPr>
        <w:t>Tempat</w:t>
      </w:r>
      <w:r>
        <w:rPr>
          <w:rFonts w:ascii="Times New Roman" w:hAnsi="Times New Roman" w:cs="Times New Roman"/>
          <w:bCs/>
          <w:i/>
          <w:iCs/>
          <w:spacing w:val="-2"/>
        </w:rPr>
        <w:t xml:space="preserve"> </w:t>
      </w:r>
      <w:r>
        <w:rPr>
          <w:rFonts w:ascii="Times New Roman" w:hAnsi="Times New Roman" w:cs="Times New Roman"/>
          <w:bCs/>
          <w:i/>
          <w:iCs/>
        </w:rPr>
        <w:t>Penelitian</w:t>
      </w:r>
    </w:p>
    <w:p w14:paraId="2212F6FF">
      <w:pPr>
        <w:spacing w:after="0" w:line="240" w:lineRule="auto"/>
        <w:ind w:firstLine="567"/>
        <w:jc w:val="both"/>
        <w:rPr>
          <w:rFonts w:ascii="Times New Roman" w:hAnsi="Times New Roman" w:cs="Times New Roman"/>
          <w:lang w:val="sv-SE"/>
        </w:rPr>
      </w:pPr>
      <w:r>
        <w:rPr>
          <w:rFonts w:ascii="Times New Roman" w:hAnsi="Times New Roman" w:cs="Times New Roman"/>
          <w:lang w:val="sv-SE"/>
        </w:rPr>
        <w:t xml:space="preserve">Penelitian ini di laksanakan selama 3 bulan mulai dari  April sampai Juni tempat pelaksanaan penelitian di Desa Malitu Kecamatan Poso Pesisir Selatan Kabupaten poso.  </w:t>
      </w:r>
    </w:p>
    <w:p w14:paraId="4C9A6961">
      <w:pPr>
        <w:spacing w:after="0" w:line="240" w:lineRule="auto"/>
        <w:ind w:firstLine="426"/>
        <w:jc w:val="center"/>
        <w:rPr>
          <w:rFonts w:ascii="Times New Roman" w:hAnsi="Times New Roman" w:cs="Times New Roman"/>
          <w:lang w:val="sv-SE"/>
        </w:rPr>
      </w:pPr>
      <w:r>
        <w:rPr>
          <w:sz w:val="20"/>
        </w:rPr>
        <w:drawing>
          <wp:inline distT="0" distB="0" distL="0" distR="0">
            <wp:extent cx="1932940" cy="2773680"/>
            <wp:effectExtent l="0" t="1270" r="8890" b="889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6" cstate="print"/>
                    <a:stretch>
                      <a:fillRect/>
                    </a:stretch>
                  </pic:blipFill>
                  <pic:spPr>
                    <a:xfrm rot="16200000">
                      <a:off x="0" y="0"/>
                      <a:ext cx="1976737" cy="2836751"/>
                    </a:xfrm>
                    <a:prstGeom prst="rect">
                      <a:avLst/>
                    </a:prstGeom>
                  </pic:spPr>
                </pic:pic>
              </a:graphicData>
            </a:graphic>
          </wp:inline>
        </w:drawing>
      </w:r>
    </w:p>
    <w:p w14:paraId="5AC998C9">
      <w:pPr>
        <w:spacing w:after="0" w:line="240" w:lineRule="auto"/>
        <w:ind w:firstLine="426"/>
        <w:jc w:val="center"/>
        <w:rPr>
          <w:rFonts w:ascii="Times New Roman" w:hAnsi="Times New Roman" w:cs="Times New Roman"/>
          <w:lang w:val="sv-SE"/>
        </w:rPr>
      </w:pPr>
      <w:r>
        <w:rPr>
          <w:rFonts w:ascii="Times New Roman" w:hAnsi="Times New Roman" w:cs="Times New Roman"/>
          <w:lang w:val="sv-SE"/>
        </w:rPr>
        <w:t xml:space="preserve">           Gambar 1. Peta Lokasi LPHD</w:t>
      </w:r>
    </w:p>
    <w:p w14:paraId="02F73C1A">
      <w:pPr>
        <w:spacing w:after="0" w:line="240" w:lineRule="auto"/>
        <w:ind w:firstLine="426"/>
        <w:jc w:val="center"/>
        <w:rPr>
          <w:rFonts w:ascii="Times New Roman" w:hAnsi="Times New Roman" w:cs="Times New Roman"/>
          <w:lang w:val="sv-SE"/>
        </w:rPr>
      </w:pPr>
    </w:p>
    <w:p w14:paraId="61C96631">
      <w:pPr>
        <w:widowControl w:val="0"/>
        <w:tabs>
          <w:tab w:val="left" w:pos="851"/>
        </w:tabs>
        <w:autoSpaceDE w:val="0"/>
        <w:autoSpaceDN w:val="0"/>
        <w:spacing w:line="240" w:lineRule="auto"/>
        <w:jc w:val="both"/>
        <w:rPr>
          <w:rFonts w:ascii="Times New Roman" w:hAnsi="Times New Roman" w:cs="Times New Roman"/>
          <w:bCs/>
          <w:i/>
          <w:iCs/>
        </w:rPr>
      </w:pPr>
      <w:r>
        <w:rPr>
          <w:rFonts w:ascii="Times New Roman" w:hAnsi="Times New Roman" w:cs="Times New Roman"/>
          <w:bCs/>
          <w:i/>
          <w:iCs/>
        </w:rPr>
        <w:t>Alat Dan Bahan</w:t>
      </w:r>
    </w:p>
    <w:p w14:paraId="06626137">
      <w:pPr>
        <w:spacing w:after="0" w:line="240" w:lineRule="auto"/>
        <w:ind w:firstLine="567"/>
        <w:jc w:val="both"/>
        <w:rPr>
          <w:rFonts w:ascii="Times New Roman" w:hAnsi="Times New Roman" w:cs="Times New Roman"/>
          <w:lang w:val="sv-SE"/>
        </w:rPr>
      </w:pPr>
      <w:r>
        <w:rPr>
          <w:rFonts w:ascii="Times New Roman" w:hAnsi="Times New Roman" w:cs="Times New Roman"/>
          <w:lang w:val="sv-SE"/>
        </w:rPr>
        <w:t>Alat yang di gunakan dalam penelitian ini adalah :</w:t>
      </w:r>
    </w:p>
    <w:p w14:paraId="07382552">
      <w:pPr>
        <w:pStyle w:val="9"/>
        <w:widowControl w:val="0"/>
        <w:numPr>
          <w:ilvl w:val="3"/>
          <w:numId w:val="1"/>
        </w:numPr>
        <w:autoSpaceDE w:val="0"/>
        <w:autoSpaceDN w:val="0"/>
        <w:spacing w:after="0" w:line="240" w:lineRule="auto"/>
        <w:ind w:left="851" w:hanging="284"/>
        <w:contextualSpacing w:val="0"/>
        <w:jc w:val="both"/>
        <w:rPr>
          <w:rFonts w:ascii="Times New Roman" w:hAnsi="Times New Roman" w:cs="Times New Roman"/>
          <w:bCs/>
        </w:rPr>
      </w:pPr>
      <w:r>
        <w:rPr>
          <w:rFonts w:ascii="Times New Roman" w:hAnsi="Times New Roman" w:cs="Times New Roman"/>
          <w:bCs/>
        </w:rPr>
        <w:t>Kamera untuk dokumentasi penelitian</w:t>
      </w:r>
    </w:p>
    <w:p w14:paraId="0FFC5FF5">
      <w:pPr>
        <w:pStyle w:val="9"/>
        <w:widowControl w:val="0"/>
        <w:numPr>
          <w:ilvl w:val="3"/>
          <w:numId w:val="1"/>
        </w:numPr>
        <w:tabs>
          <w:tab w:val="left" w:pos="851"/>
        </w:tabs>
        <w:autoSpaceDE w:val="0"/>
        <w:autoSpaceDN w:val="0"/>
        <w:spacing w:after="0" w:line="240" w:lineRule="auto"/>
        <w:ind w:left="567" w:firstLine="0"/>
        <w:contextualSpacing w:val="0"/>
        <w:jc w:val="both"/>
        <w:rPr>
          <w:rFonts w:ascii="Times New Roman" w:hAnsi="Times New Roman" w:cs="Times New Roman"/>
          <w:bCs/>
        </w:rPr>
      </w:pPr>
      <w:r>
        <w:rPr>
          <w:rFonts w:ascii="Times New Roman" w:hAnsi="Times New Roman" w:cs="Times New Roman"/>
          <w:bCs/>
        </w:rPr>
        <w:t xml:space="preserve">Leptop untuk mengelolah data </w:t>
      </w:r>
    </w:p>
    <w:p w14:paraId="5FF9F113">
      <w:pPr>
        <w:pStyle w:val="9"/>
        <w:widowControl w:val="0"/>
        <w:numPr>
          <w:ilvl w:val="3"/>
          <w:numId w:val="1"/>
        </w:numPr>
        <w:tabs>
          <w:tab w:val="left" w:pos="851"/>
        </w:tabs>
        <w:autoSpaceDE w:val="0"/>
        <w:autoSpaceDN w:val="0"/>
        <w:spacing w:after="0" w:line="240" w:lineRule="auto"/>
        <w:ind w:left="567" w:firstLine="0"/>
        <w:contextualSpacing w:val="0"/>
        <w:jc w:val="both"/>
        <w:rPr>
          <w:rFonts w:ascii="Times New Roman" w:hAnsi="Times New Roman" w:cs="Times New Roman"/>
          <w:bCs/>
        </w:rPr>
      </w:pPr>
      <w:r>
        <w:rPr>
          <w:rFonts w:ascii="Times New Roman" w:hAnsi="Times New Roman" w:cs="Times New Roman"/>
          <w:bCs/>
        </w:rPr>
        <w:t>Alat tulis untuk mencatat data penelitian</w:t>
      </w:r>
    </w:p>
    <w:p w14:paraId="12A25327">
      <w:pPr>
        <w:spacing w:line="240" w:lineRule="auto"/>
        <w:ind w:firstLine="567"/>
        <w:jc w:val="both"/>
        <w:rPr>
          <w:rFonts w:ascii="Times New Roman" w:hAnsi="Times New Roman" w:cs="Times New Roman"/>
          <w:lang w:val="sv-SE"/>
        </w:rPr>
      </w:pPr>
      <w:r>
        <w:rPr>
          <w:rFonts w:ascii="Times New Roman" w:hAnsi="Times New Roman" w:cs="Times New Roman"/>
          <w:lang w:val="sv-SE"/>
        </w:rPr>
        <w:t xml:space="preserve">Bahan yang digunakan pada penellitian ini adalah </w:t>
      </w:r>
      <w:r>
        <w:rPr>
          <w:rFonts w:ascii="Times New Roman" w:hAnsi="Times New Roman" w:cs="Times New Roman"/>
          <w:i/>
          <w:iCs/>
          <w:lang w:val="sv-SE"/>
        </w:rPr>
        <w:t xml:space="preserve">kuesioner </w:t>
      </w:r>
      <w:r>
        <w:rPr>
          <w:rFonts w:ascii="Times New Roman" w:hAnsi="Times New Roman" w:cs="Times New Roman"/>
          <w:lang w:val="sv-SE"/>
        </w:rPr>
        <w:t>sebagai instrument untuk mengumpulkan data di lapangan.</w:t>
      </w:r>
    </w:p>
    <w:p w14:paraId="785CAC32">
      <w:pPr>
        <w:widowControl w:val="0"/>
        <w:tabs>
          <w:tab w:val="left" w:pos="284"/>
        </w:tabs>
        <w:autoSpaceDE w:val="0"/>
        <w:autoSpaceDN w:val="0"/>
        <w:spacing w:line="240" w:lineRule="auto"/>
        <w:jc w:val="both"/>
        <w:rPr>
          <w:rFonts w:ascii="Times New Roman" w:hAnsi="Times New Roman" w:cs="Times New Roman"/>
          <w:bCs/>
          <w:i/>
          <w:iCs/>
        </w:rPr>
      </w:pPr>
      <w:r>
        <w:rPr>
          <w:rFonts w:ascii="Times New Roman" w:hAnsi="Times New Roman" w:cs="Times New Roman"/>
          <w:bCs/>
          <w:i/>
          <w:iCs/>
        </w:rPr>
        <w:t>Sumber Data</w:t>
      </w:r>
    </w:p>
    <w:p w14:paraId="164700BD">
      <w:pPr>
        <w:spacing w:line="240" w:lineRule="auto"/>
        <w:ind w:firstLine="567"/>
        <w:jc w:val="both"/>
        <w:rPr>
          <w:rFonts w:ascii="Times New Roman" w:hAnsi="Times New Roman" w:cs="Times New Roman"/>
          <w:lang w:val="sv-SE"/>
        </w:rPr>
      </w:pPr>
      <w:r>
        <w:rPr>
          <w:rFonts w:ascii="Times New Roman" w:hAnsi="Times New Roman" w:cs="Times New Roman"/>
          <w:lang w:val="sv-SE"/>
        </w:rPr>
        <w:t xml:space="preserve">Data yang di kumpulkan berupa data </w:t>
      </w:r>
      <w:r>
        <w:rPr>
          <w:rFonts w:ascii="Times New Roman" w:hAnsi="Times New Roman" w:cs="Times New Roman"/>
          <w:i/>
          <w:iCs/>
          <w:lang w:val="sv-SE"/>
        </w:rPr>
        <w:t>primer</w:t>
      </w:r>
      <w:r>
        <w:rPr>
          <w:rFonts w:ascii="Times New Roman" w:hAnsi="Times New Roman" w:cs="Times New Roman"/>
          <w:lang w:val="sv-SE"/>
        </w:rPr>
        <w:t xml:space="preserve"> dan </w:t>
      </w:r>
      <w:r>
        <w:rPr>
          <w:rFonts w:ascii="Times New Roman" w:hAnsi="Times New Roman" w:cs="Times New Roman"/>
          <w:i/>
          <w:iCs/>
          <w:lang w:val="sv-SE"/>
        </w:rPr>
        <w:t>sekunder</w:t>
      </w:r>
      <w:r>
        <w:rPr>
          <w:rFonts w:ascii="Times New Roman" w:hAnsi="Times New Roman" w:cs="Times New Roman"/>
          <w:lang w:val="sv-SE"/>
        </w:rPr>
        <w:t xml:space="preserve">. Data primer di peroleh dengan cara melakukan wawancara mendalam secara langsung dengan pedoman </w:t>
      </w:r>
      <w:r>
        <w:rPr>
          <w:rFonts w:ascii="Times New Roman" w:hAnsi="Times New Roman" w:cs="Times New Roman"/>
          <w:i/>
          <w:iCs/>
          <w:lang w:val="sv-SE"/>
        </w:rPr>
        <w:t>kuesioner</w:t>
      </w:r>
      <w:r>
        <w:rPr>
          <w:rFonts w:ascii="Times New Roman" w:hAnsi="Times New Roman" w:cs="Times New Roman"/>
          <w:lang w:val="sv-SE"/>
        </w:rPr>
        <w:t xml:space="preserve"> di lapangan. Data primer dan data skunder merupakan data utama yang dikumpulkan pada penelitian ini. Data sekunder dikumpulkan melalui studi dokumentasi. Sedangkan data primer dikumpulkan melalui wawancara menggunakan kuesioner dan observasi.</w:t>
      </w:r>
    </w:p>
    <w:p w14:paraId="3CF40ED4">
      <w:pPr>
        <w:widowControl w:val="0"/>
        <w:autoSpaceDE w:val="0"/>
        <w:autoSpaceDN w:val="0"/>
        <w:spacing w:line="240" w:lineRule="auto"/>
        <w:jc w:val="both"/>
        <w:rPr>
          <w:rFonts w:ascii="Times New Roman" w:hAnsi="Times New Roman" w:cs="Times New Roman"/>
          <w:bCs/>
          <w:i/>
          <w:iCs/>
        </w:rPr>
      </w:pPr>
      <w:r>
        <w:rPr>
          <w:rFonts w:ascii="Times New Roman" w:hAnsi="Times New Roman" w:cs="Times New Roman"/>
          <w:bCs/>
          <w:i/>
          <w:iCs/>
        </w:rPr>
        <w:t>Teknik Pengambilan Sampel</w:t>
      </w:r>
    </w:p>
    <w:p w14:paraId="79E9AF62">
      <w:pPr>
        <w:spacing w:after="0" w:line="240" w:lineRule="auto"/>
        <w:ind w:firstLine="567"/>
        <w:jc w:val="both"/>
        <w:rPr>
          <w:rFonts w:ascii="Times New Roman" w:hAnsi="Times New Roman" w:cs="Times New Roman"/>
          <w:lang w:val="sv-SE"/>
        </w:rPr>
      </w:pPr>
      <w:r>
        <w:rPr>
          <w:rFonts w:ascii="Times New Roman" w:hAnsi="Times New Roman" w:cs="Times New Roman"/>
          <w:lang w:val="sv-SE"/>
        </w:rPr>
        <w:t xml:space="preserve">Teknik pengambilan sampel dilakukan menggunakan metode </w:t>
      </w:r>
      <w:r>
        <w:rPr>
          <w:rFonts w:ascii="Times New Roman" w:hAnsi="Times New Roman" w:cs="Times New Roman"/>
          <w:i/>
          <w:iCs/>
          <w:lang w:val="sv-SE"/>
        </w:rPr>
        <w:t xml:space="preserve">non prpbability sampling </w:t>
      </w:r>
      <w:r>
        <w:rPr>
          <w:rFonts w:ascii="Times New Roman" w:hAnsi="Times New Roman" w:cs="Times New Roman"/>
          <w:lang w:val="sv-SE"/>
        </w:rPr>
        <w:t>yang ditentukan secara sengaja (</w:t>
      </w:r>
      <w:r>
        <w:rPr>
          <w:rFonts w:ascii="Times New Roman" w:hAnsi="Times New Roman" w:cs="Times New Roman"/>
          <w:i/>
          <w:iCs/>
          <w:lang w:val="sv-SE"/>
        </w:rPr>
        <w:t xml:space="preserve">purposive sampling) </w:t>
      </w:r>
      <w:r>
        <w:rPr>
          <w:rFonts w:ascii="Times New Roman" w:hAnsi="Times New Roman" w:cs="Times New Roman"/>
          <w:lang w:val="sv-SE"/>
        </w:rPr>
        <w:t xml:space="preserve">baik untuk data lokasi maupun sampel responden. Teknik ini dapat diartikan sebagai suatu Teknik pengambilan sampel berdasarkan ciri atau sifat populasi yang sudah diketahui sebelumnya. </w:t>
      </w:r>
      <w:r>
        <w:rPr>
          <w:rFonts w:ascii="Times New Roman" w:hAnsi="Times New Roman" w:cs="Times New Roman"/>
          <w:i/>
          <w:iCs/>
          <w:lang w:val="sv-SE"/>
        </w:rPr>
        <w:t>Purposive sampling</w:t>
      </w:r>
      <w:r>
        <w:rPr>
          <w:rFonts w:ascii="Times New Roman" w:hAnsi="Times New Roman" w:cs="Times New Roman"/>
          <w:lang w:val="sv-SE"/>
        </w:rPr>
        <w:t xml:space="preserve"> adalah teknik pengambilan sampel variabel-variabel berdasarkan sumber data dengan pertimbangan tertentu yakni sumber data yang dianggap paling tahu tentang apa yang diharapakan. (Ernanda, D., &amp; Sugiyono, S., 2017).</w:t>
      </w:r>
    </w:p>
    <w:p w14:paraId="14FA30AD">
      <w:pPr>
        <w:spacing w:after="0" w:line="240" w:lineRule="auto"/>
        <w:ind w:firstLine="567"/>
        <w:jc w:val="both"/>
        <w:rPr>
          <w:rFonts w:ascii="Times New Roman" w:hAnsi="Times New Roman" w:cs="Times New Roman"/>
          <w:lang w:val="sv-SE"/>
        </w:rPr>
      </w:pPr>
      <w:r>
        <w:rPr>
          <w:rFonts w:ascii="Times New Roman" w:hAnsi="Times New Roman" w:cs="Times New Roman"/>
          <w:lang w:val="sv-SE"/>
        </w:rPr>
        <w:t xml:space="preserve">Dalam hal ini, sampel responden penelitian yang diambil menggunakan  metode </w:t>
      </w:r>
      <w:r>
        <w:rPr>
          <w:rFonts w:ascii="Times New Roman" w:hAnsi="Times New Roman" w:cs="Times New Roman"/>
          <w:i/>
          <w:iCs/>
          <w:lang w:val="sv-SE"/>
        </w:rPr>
        <w:t xml:space="preserve">non probability sampling </w:t>
      </w:r>
      <w:r>
        <w:rPr>
          <w:rFonts w:ascii="Times New Roman" w:hAnsi="Times New Roman" w:cs="Times New Roman"/>
          <w:lang w:val="sv-SE"/>
        </w:rPr>
        <w:t xml:space="preserve"> dengan teknik secara sengaja (</w:t>
      </w:r>
      <w:r>
        <w:rPr>
          <w:rFonts w:ascii="Times New Roman" w:hAnsi="Times New Roman" w:cs="Times New Roman"/>
          <w:i/>
          <w:iCs/>
          <w:lang w:val="sv-SE"/>
        </w:rPr>
        <w:t>purposive sampling)</w:t>
      </w:r>
      <w:r>
        <w:rPr>
          <w:rFonts w:ascii="Times New Roman" w:hAnsi="Times New Roman" w:cs="Times New Roman"/>
          <w:lang w:val="sv-SE"/>
        </w:rPr>
        <w:t xml:space="preserve">, yaitu: </w:t>
      </w:r>
    </w:p>
    <w:p w14:paraId="5D2A09E1">
      <w:pPr>
        <w:pStyle w:val="9"/>
        <w:numPr>
          <w:ilvl w:val="0"/>
          <w:numId w:val="2"/>
        </w:numPr>
        <w:spacing w:after="0" w:line="240" w:lineRule="auto"/>
        <w:ind w:left="567"/>
        <w:jc w:val="both"/>
        <w:rPr>
          <w:rFonts w:ascii="Times New Roman" w:hAnsi="Times New Roman" w:cs="Times New Roman"/>
        </w:rPr>
      </w:pPr>
      <w:r>
        <w:rPr>
          <w:rFonts w:ascii="Times New Roman" w:hAnsi="Times New Roman" w:cs="Times New Roman"/>
        </w:rPr>
        <w:t>KPH Sintuwu Maroso</w:t>
      </w:r>
    </w:p>
    <w:p w14:paraId="30C9DCF3">
      <w:pPr>
        <w:pStyle w:val="9"/>
        <w:numPr>
          <w:ilvl w:val="0"/>
          <w:numId w:val="2"/>
        </w:numPr>
        <w:spacing w:after="0" w:line="240" w:lineRule="auto"/>
        <w:ind w:left="567"/>
        <w:jc w:val="both"/>
        <w:rPr>
          <w:rFonts w:ascii="Times New Roman" w:hAnsi="Times New Roman" w:cs="Times New Roman"/>
        </w:rPr>
      </w:pPr>
      <w:r>
        <w:rPr>
          <w:rFonts w:ascii="Times New Roman" w:hAnsi="Times New Roman" w:cs="Times New Roman"/>
        </w:rPr>
        <w:t>Kepala Desa</w:t>
      </w:r>
    </w:p>
    <w:p w14:paraId="4B2E1272">
      <w:pPr>
        <w:pStyle w:val="9"/>
        <w:numPr>
          <w:ilvl w:val="0"/>
          <w:numId w:val="2"/>
        </w:numPr>
        <w:spacing w:after="0" w:line="240" w:lineRule="auto"/>
        <w:ind w:left="567"/>
        <w:jc w:val="both"/>
        <w:rPr>
          <w:rFonts w:ascii="Times New Roman" w:hAnsi="Times New Roman" w:cs="Times New Roman"/>
        </w:rPr>
      </w:pPr>
      <w:r>
        <w:rPr>
          <w:rFonts w:ascii="Times New Roman" w:hAnsi="Times New Roman" w:cs="Times New Roman"/>
        </w:rPr>
        <w:t>Ketua LPHD Mesale</w:t>
      </w:r>
    </w:p>
    <w:p w14:paraId="418673C9">
      <w:pPr>
        <w:pStyle w:val="9"/>
        <w:numPr>
          <w:ilvl w:val="0"/>
          <w:numId w:val="2"/>
        </w:numPr>
        <w:spacing w:after="0" w:line="240" w:lineRule="auto"/>
        <w:ind w:left="567"/>
        <w:jc w:val="both"/>
        <w:rPr>
          <w:rFonts w:ascii="Times New Roman" w:hAnsi="Times New Roman" w:cs="Times New Roman"/>
        </w:rPr>
      </w:pPr>
      <w:r>
        <w:rPr>
          <w:rFonts w:ascii="Times New Roman" w:hAnsi="Times New Roman" w:cs="Times New Roman"/>
        </w:rPr>
        <w:t>Bendahara LPHD Mesale</w:t>
      </w:r>
    </w:p>
    <w:p w14:paraId="5E14ADB9">
      <w:pPr>
        <w:pStyle w:val="9"/>
        <w:numPr>
          <w:ilvl w:val="0"/>
          <w:numId w:val="2"/>
        </w:numPr>
        <w:spacing w:after="0" w:line="240" w:lineRule="auto"/>
        <w:ind w:left="567"/>
        <w:jc w:val="both"/>
        <w:rPr>
          <w:rFonts w:ascii="Times New Roman" w:hAnsi="Times New Roman" w:cs="Times New Roman"/>
        </w:rPr>
      </w:pPr>
      <w:r>
        <w:rPr>
          <w:rFonts w:ascii="Times New Roman" w:hAnsi="Times New Roman" w:cs="Times New Roman"/>
        </w:rPr>
        <w:t>Anggota kelompok LPHD Mesale</w:t>
      </w:r>
    </w:p>
    <w:p w14:paraId="5A598BE4">
      <w:pPr>
        <w:spacing w:after="0" w:line="240" w:lineRule="auto"/>
        <w:ind w:firstLine="567"/>
        <w:jc w:val="both"/>
        <w:rPr>
          <w:rFonts w:ascii="Times New Roman" w:hAnsi="Times New Roman" w:cs="Times New Roman"/>
          <w:lang w:val="sv-SE"/>
        </w:rPr>
      </w:pPr>
      <w:r>
        <w:rPr>
          <w:rFonts w:ascii="Times New Roman" w:hAnsi="Times New Roman" w:cs="Times New Roman"/>
          <w:lang w:eastAsia="zh-CN"/>
        </w:rPr>
        <w:t xml:space="preserve">Sampel sebanyak dua puluh dua (22) orang ini ditetapkan sebagai responden yang akan di wawancara menggunakan pertanyaan kuesioner yang telah di siapkan, lalu dilihat jawaban reponden yang paling relevan dengan tujuan penelitian. </w:t>
      </w:r>
      <w:r>
        <w:rPr>
          <w:rFonts w:ascii="Times New Roman" w:hAnsi="Times New Roman" w:cs="Times New Roman"/>
          <w:lang w:val="sv-SE"/>
        </w:rPr>
        <w:t>Hal ini didasari oleh teknik purposive sampling yang mengharuskan peneliti untuk mencermati tujuan penelitian dan karakteristik sampel dalam proses penetapannya ( Ernanda, D., &amp; Sugiyono, S., 2017).</w:t>
      </w:r>
    </w:p>
    <w:p w14:paraId="415AD1F8">
      <w:pPr>
        <w:pStyle w:val="9"/>
        <w:widowControl w:val="0"/>
        <w:autoSpaceDE w:val="0"/>
        <w:autoSpaceDN w:val="0"/>
        <w:spacing w:before="240" w:line="240" w:lineRule="auto"/>
        <w:ind w:left="567" w:hanging="567"/>
        <w:contextualSpacing w:val="0"/>
        <w:jc w:val="both"/>
        <w:rPr>
          <w:rFonts w:ascii="Times New Roman" w:hAnsi="Times New Roman" w:cs="Times New Roman"/>
          <w:lang w:val="sv-SE"/>
        </w:rPr>
        <w:sectPr>
          <w:type w:val="continuous"/>
          <w:pgSz w:w="11906" w:h="16838"/>
          <w:pgMar w:top="1440" w:right="1440" w:bottom="1440" w:left="1440" w:header="708" w:footer="708" w:gutter="0"/>
          <w:cols w:space="708" w:num="2"/>
          <w:docGrid w:linePitch="360" w:charSpace="0"/>
        </w:sectPr>
      </w:pPr>
    </w:p>
    <w:p w14:paraId="38588312">
      <w:pPr>
        <w:pStyle w:val="9"/>
        <w:widowControl w:val="0"/>
        <w:autoSpaceDE w:val="0"/>
        <w:autoSpaceDN w:val="0"/>
        <w:spacing w:before="240" w:after="0" w:line="480" w:lineRule="auto"/>
        <w:ind w:left="567" w:hanging="567"/>
        <w:contextualSpacing w:val="0"/>
        <w:jc w:val="both"/>
        <w:rPr>
          <w:rFonts w:ascii="Times New Roman" w:hAnsi="Times New Roman" w:cs="Times New Roman"/>
          <w:i/>
          <w:iCs/>
          <w:lang w:val="sv-SE"/>
        </w:rPr>
      </w:pPr>
      <w:r>
        <w:rPr>
          <w:rFonts w:ascii="Times New Roman" w:hAnsi="Times New Roman" w:cs="Times New Roman"/>
          <w:i/>
          <w:iCs/>
          <w:lang w:val="sv-SE"/>
        </w:rPr>
        <w:t>Kriteria Indikator Penilaian</w:t>
      </w:r>
    </w:p>
    <w:p w14:paraId="786D88C7">
      <w:pPr>
        <w:spacing w:before="240" w:line="240" w:lineRule="auto"/>
        <w:ind w:firstLine="567"/>
        <w:jc w:val="both"/>
        <w:rPr>
          <w:rFonts w:ascii="Times New Roman" w:hAnsi="Times New Roman" w:cs="Times New Roman"/>
          <w:lang w:val="sv-SE"/>
        </w:rPr>
        <w:sectPr>
          <w:type w:val="continuous"/>
          <w:pgSz w:w="11906" w:h="16838"/>
          <w:pgMar w:top="1440" w:right="1440" w:bottom="1440" w:left="1440" w:header="708" w:footer="708" w:gutter="0"/>
          <w:cols w:space="708" w:num="1"/>
          <w:docGrid w:linePitch="360" w:charSpace="0"/>
        </w:sectPr>
      </w:pPr>
    </w:p>
    <w:p w14:paraId="0DEADE03">
      <w:pPr>
        <w:spacing w:line="240" w:lineRule="auto"/>
        <w:ind w:firstLine="567"/>
        <w:jc w:val="both"/>
        <w:rPr>
          <w:rFonts w:ascii="Times New Roman" w:hAnsi="Times New Roman" w:cs="Times New Roman"/>
          <w:lang w:val="sv-SE"/>
        </w:rPr>
      </w:pPr>
      <w:r>
        <w:rPr>
          <w:rFonts w:ascii="Times New Roman" w:hAnsi="Times New Roman" w:cs="Times New Roman"/>
          <w:lang w:val="sv-SE"/>
        </w:rPr>
        <w:t>Kinerja kelembagaan Hutan Desa dapat di nilai berdasarkan SK Menteri Lingkungan Hidup dan Kehutanan No. P.43/Menlhk/Setjen/Kum.1/5/2016 tentang Pedoman Umum Penyelenggaraan Lomba dan Pemberian Apresiasi Wana Lestari.</w:t>
      </w:r>
    </w:p>
    <w:p w14:paraId="74927B64">
      <w:pPr>
        <w:spacing w:after="0" w:line="240" w:lineRule="auto"/>
        <w:jc w:val="center"/>
        <w:rPr>
          <w:rFonts w:ascii="Times New Roman" w:hAnsi="Times New Roman" w:cs="Times New Roman"/>
          <w:lang w:val="sv-SE"/>
        </w:rPr>
        <w:sectPr>
          <w:type w:val="continuous"/>
          <w:pgSz w:w="11906" w:h="16838"/>
          <w:pgMar w:top="1440" w:right="1440" w:bottom="1440" w:left="1440" w:header="708" w:footer="708" w:gutter="0"/>
          <w:cols w:space="708" w:num="2"/>
          <w:docGrid w:linePitch="360" w:charSpace="0"/>
        </w:sectPr>
      </w:pPr>
    </w:p>
    <w:p w14:paraId="0653E452">
      <w:pPr>
        <w:spacing w:after="0" w:line="240" w:lineRule="auto"/>
        <w:jc w:val="center"/>
        <w:rPr>
          <w:rFonts w:ascii="Times New Roman" w:hAnsi="Times New Roman" w:cs="Times New Roman"/>
          <w:lang w:val="sv-SE"/>
        </w:rPr>
      </w:pPr>
      <w:r>
        <w:rPr>
          <w:rFonts w:ascii="Times New Roman" w:hAnsi="Times New Roman" w:cs="Times New Roman"/>
          <w:lang w:val="sv-SE"/>
        </w:rPr>
        <w:t>Tabel 1.  aspek penilaian berdasarkan kriteria pengelola Hutan Desa (HD).</w:t>
      </w:r>
    </w:p>
    <w:tbl>
      <w:tblPr>
        <w:tblStyle w:val="11"/>
        <w:tblW w:w="0" w:type="auto"/>
        <w:tblInd w:w="0"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7"/>
        <w:gridCol w:w="5085"/>
        <w:gridCol w:w="703"/>
        <w:gridCol w:w="2897"/>
      </w:tblGrid>
      <w:tr w14:paraId="4559AC96">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tcBorders>
              <w:bottom w:val="single" w:color="000000" w:themeColor="text1" w:sz="4" w:space="0"/>
              <w:insideH w:val="single" w:sz="4" w:space="0"/>
            </w:tcBorders>
            <w:shd w:val="clear" w:color="auto" w:fill="auto"/>
          </w:tcPr>
          <w:p w14:paraId="5B6ADF5A">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No</w:t>
            </w:r>
          </w:p>
        </w:tc>
        <w:tc>
          <w:tcPr>
            <w:tcW w:w="5529" w:type="dxa"/>
            <w:tcBorders>
              <w:bottom w:val="single" w:color="000000" w:themeColor="text1" w:sz="4" w:space="0"/>
              <w:insideH w:val="single" w:sz="4" w:space="0"/>
            </w:tcBorders>
            <w:shd w:val="clear" w:color="auto" w:fill="auto"/>
          </w:tcPr>
          <w:p w14:paraId="2E075710">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Kriteria/Indikator</w:t>
            </w:r>
          </w:p>
        </w:tc>
        <w:tc>
          <w:tcPr>
            <w:tcW w:w="708" w:type="dxa"/>
            <w:tcBorders>
              <w:bottom w:val="single" w:color="000000" w:themeColor="text1" w:sz="4" w:space="0"/>
              <w:insideH w:val="single" w:sz="4" w:space="0"/>
            </w:tcBorders>
            <w:shd w:val="clear" w:color="auto" w:fill="auto"/>
          </w:tcPr>
          <w:p w14:paraId="6AA3D2B5">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Skor</w:t>
            </w:r>
          </w:p>
        </w:tc>
        <w:tc>
          <w:tcPr>
            <w:tcW w:w="3119" w:type="dxa"/>
            <w:tcBorders>
              <w:bottom w:val="single" w:color="000000" w:themeColor="text1" w:sz="4" w:space="0"/>
              <w:insideH w:val="single" w:sz="4" w:space="0"/>
            </w:tcBorders>
            <w:shd w:val="clear" w:color="auto" w:fill="auto"/>
          </w:tcPr>
          <w:p w14:paraId="29D7580D">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Keterangan</w:t>
            </w:r>
          </w:p>
        </w:tc>
      </w:tr>
      <w:tr w14:paraId="27DD0C55">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62" w:type="dxa"/>
            <w:shd w:val="clear" w:color="auto" w:fill="auto"/>
          </w:tcPr>
          <w:p w14:paraId="1C3EC35F">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I.</w:t>
            </w:r>
          </w:p>
        </w:tc>
        <w:tc>
          <w:tcPr>
            <w:tcW w:w="5529" w:type="dxa"/>
            <w:shd w:val="clear" w:color="auto" w:fill="auto"/>
          </w:tcPr>
          <w:p w14:paraId="2ED9D4ED">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Administrasi dan Kelembagaan (20%)</w:t>
            </w:r>
          </w:p>
        </w:tc>
        <w:tc>
          <w:tcPr>
            <w:tcW w:w="708" w:type="dxa"/>
            <w:shd w:val="clear" w:color="auto" w:fill="auto"/>
          </w:tcPr>
          <w:p w14:paraId="75CA5186">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3119" w:type="dxa"/>
            <w:shd w:val="clear" w:color="auto" w:fill="auto"/>
          </w:tcPr>
          <w:p w14:paraId="6DA6822E">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78617235">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662EE8D3">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1.</w:t>
            </w:r>
          </w:p>
        </w:tc>
        <w:tc>
          <w:tcPr>
            <w:tcW w:w="5529" w:type="dxa"/>
            <w:shd w:val="clear" w:color="auto" w:fill="auto"/>
          </w:tcPr>
          <w:p w14:paraId="30A6DF96">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Organisasi dan Susunan Pengurus :</w:t>
            </w:r>
          </w:p>
        </w:tc>
        <w:tc>
          <w:tcPr>
            <w:tcW w:w="708" w:type="dxa"/>
            <w:shd w:val="clear" w:color="auto" w:fill="auto"/>
          </w:tcPr>
          <w:p w14:paraId="0CDC5DC7">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3119" w:type="dxa"/>
            <w:shd w:val="clear" w:color="auto" w:fill="auto"/>
          </w:tcPr>
          <w:p w14:paraId="7D065E6D">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1416B5C6">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4D6749C6">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0E8607C6">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a. Ada organisasi, susunan pengurus dan</w:t>
            </w:r>
          </w:p>
          <w:p w14:paraId="46E4FE69">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pembagian tugas yang jelas</w:t>
            </w:r>
          </w:p>
        </w:tc>
        <w:tc>
          <w:tcPr>
            <w:tcW w:w="708" w:type="dxa"/>
            <w:shd w:val="clear" w:color="auto" w:fill="auto"/>
          </w:tcPr>
          <w:p w14:paraId="5A00E6EC">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w:t>
            </w:r>
          </w:p>
        </w:tc>
        <w:tc>
          <w:tcPr>
            <w:tcW w:w="3119" w:type="dxa"/>
            <w:shd w:val="clear" w:color="auto" w:fill="auto"/>
          </w:tcPr>
          <w:p w14:paraId="6FA7D156">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2F767339">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46482533">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58C7FF2D">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b. Ada organisasi, susunan pengurus dan tidak ada pembagian tugas yang jelas</w:t>
            </w:r>
          </w:p>
        </w:tc>
        <w:tc>
          <w:tcPr>
            <w:tcW w:w="708" w:type="dxa"/>
            <w:shd w:val="clear" w:color="auto" w:fill="auto"/>
          </w:tcPr>
          <w:p w14:paraId="0B953F89">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w:t>
            </w:r>
          </w:p>
        </w:tc>
        <w:tc>
          <w:tcPr>
            <w:tcW w:w="3119" w:type="dxa"/>
            <w:shd w:val="clear" w:color="auto" w:fill="auto"/>
          </w:tcPr>
          <w:p w14:paraId="77B32A9B">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072CB130">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6E2F0F5F">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1E6D9C29">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c. Hanya ada susunan pengurus</w:t>
            </w:r>
          </w:p>
        </w:tc>
        <w:tc>
          <w:tcPr>
            <w:tcW w:w="708" w:type="dxa"/>
            <w:shd w:val="clear" w:color="auto" w:fill="auto"/>
          </w:tcPr>
          <w:p w14:paraId="6E0C930E">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w:t>
            </w:r>
          </w:p>
        </w:tc>
        <w:tc>
          <w:tcPr>
            <w:tcW w:w="3119" w:type="dxa"/>
            <w:shd w:val="clear" w:color="auto" w:fill="auto"/>
          </w:tcPr>
          <w:p w14:paraId="737268D5">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33BE1C4F">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58963103">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2.</w:t>
            </w:r>
          </w:p>
        </w:tc>
        <w:tc>
          <w:tcPr>
            <w:tcW w:w="5529" w:type="dxa"/>
            <w:shd w:val="clear" w:color="auto" w:fill="auto"/>
          </w:tcPr>
          <w:p w14:paraId="14E3313C">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Penetapan PPHD (Persetujuan Pengelolaan HD)</w:t>
            </w:r>
          </w:p>
        </w:tc>
        <w:tc>
          <w:tcPr>
            <w:tcW w:w="708" w:type="dxa"/>
            <w:shd w:val="clear" w:color="auto" w:fill="auto"/>
          </w:tcPr>
          <w:p w14:paraId="6AE488E9">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3119" w:type="dxa"/>
            <w:shd w:val="clear" w:color="auto" w:fill="auto"/>
          </w:tcPr>
          <w:p w14:paraId="5C6542BC">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1D580E3B">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1F50DFC3">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7CA5063E">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a. Telah ditetapkan Menteri LHK</w:t>
            </w:r>
          </w:p>
        </w:tc>
        <w:tc>
          <w:tcPr>
            <w:tcW w:w="708" w:type="dxa"/>
            <w:shd w:val="clear" w:color="auto" w:fill="auto"/>
          </w:tcPr>
          <w:p w14:paraId="61ED6086">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w:t>
            </w:r>
          </w:p>
        </w:tc>
        <w:tc>
          <w:tcPr>
            <w:tcW w:w="3119" w:type="dxa"/>
            <w:shd w:val="clear" w:color="auto" w:fill="auto"/>
          </w:tcPr>
          <w:p w14:paraId="6A9CD303">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1CE54C81">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5626B5BD">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2616F85E">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b. Dalam proses penetapan MLHK</w:t>
            </w:r>
          </w:p>
        </w:tc>
        <w:tc>
          <w:tcPr>
            <w:tcW w:w="708" w:type="dxa"/>
            <w:shd w:val="clear" w:color="auto" w:fill="auto"/>
          </w:tcPr>
          <w:p w14:paraId="5A42E66B">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w:t>
            </w:r>
          </w:p>
        </w:tc>
        <w:tc>
          <w:tcPr>
            <w:tcW w:w="3119" w:type="dxa"/>
            <w:shd w:val="clear" w:color="auto" w:fill="auto"/>
          </w:tcPr>
          <w:p w14:paraId="538E8085">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Lampirkan SK</w:t>
            </w:r>
          </w:p>
        </w:tc>
      </w:tr>
      <w:tr w14:paraId="18F84A9D">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23B4B0B4">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65EBB9F0">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c. Belum</w:t>
            </w:r>
          </w:p>
        </w:tc>
        <w:tc>
          <w:tcPr>
            <w:tcW w:w="708" w:type="dxa"/>
            <w:shd w:val="clear" w:color="auto" w:fill="auto"/>
          </w:tcPr>
          <w:p w14:paraId="1F491025">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w:t>
            </w:r>
          </w:p>
        </w:tc>
        <w:tc>
          <w:tcPr>
            <w:tcW w:w="3119" w:type="dxa"/>
            <w:shd w:val="clear" w:color="auto" w:fill="auto"/>
          </w:tcPr>
          <w:p w14:paraId="50FD1AC1">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2B90E579">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08531D1D">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3.</w:t>
            </w:r>
          </w:p>
        </w:tc>
        <w:tc>
          <w:tcPr>
            <w:tcW w:w="5529" w:type="dxa"/>
            <w:shd w:val="clear" w:color="auto" w:fill="auto"/>
          </w:tcPr>
          <w:p w14:paraId="77909E39">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Memiliki catatan administrasi kelompok (keuangan, Notulen pertemuan, barang, surat keluar masuk)</w:t>
            </w:r>
          </w:p>
        </w:tc>
        <w:tc>
          <w:tcPr>
            <w:tcW w:w="708" w:type="dxa"/>
            <w:shd w:val="clear" w:color="auto" w:fill="auto"/>
          </w:tcPr>
          <w:p w14:paraId="0212F5DC">
            <w:pPr>
              <w:spacing w:after="0" w:line="240" w:lineRule="auto"/>
              <w:jc w:val="center"/>
              <w:rPr>
                <w:rFonts w:ascii="Times New Roman" w:hAnsi="Times New Roman" w:cs="Times New Roman"/>
                <w:color w:val="000000" w:themeColor="text1"/>
                <w:sz w:val="22"/>
                <w:szCs w:val="22"/>
                <w:lang w:val="sv-SE"/>
                <w14:textFill>
                  <w14:solidFill>
                    <w14:schemeClr w14:val="tx1"/>
                  </w14:solidFill>
                </w14:textFill>
              </w:rPr>
            </w:pPr>
          </w:p>
        </w:tc>
        <w:tc>
          <w:tcPr>
            <w:tcW w:w="3119" w:type="dxa"/>
            <w:shd w:val="clear" w:color="auto" w:fill="auto"/>
          </w:tcPr>
          <w:p w14:paraId="2C6EA3DB">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p>
        </w:tc>
      </w:tr>
      <w:tr w14:paraId="599DDCC5">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70C0266D">
            <w:pPr>
              <w:spacing w:after="0" w:line="240" w:lineRule="auto"/>
              <w:jc w:val="both"/>
              <w:rPr>
                <w:rFonts w:ascii="Times New Roman" w:hAnsi="Times New Roman" w:cs="Times New Roman"/>
                <w:b w:val="0"/>
                <w:bCs w:val="0"/>
                <w:color w:val="000000" w:themeColor="text1"/>
                <w:sz w:val="22"/>
                <w:szCs w:val="22"/>
                <w:lang w:val="sv-SE"/>
                <w14:textFill>
                  <w14:solidFill>
                    <w14:schemeClr w14:val="tx1"/>
                  </w14:solidFill>
                </w14:textFill>
              </w:rPr>
            </w:pPr>
          </w:p>
        </w:tc>
        <w:tc>
          <w:tcPr>
            <w:tcW w:w="5529" w:type="dxa"/>
            <w:shd w:val="clear" w:color="auto" w:fill="auto"/>
          </w:tcPr>
          <w:p w14:paraId="168F0AC7">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a. Lengkap (ada 4 dari 4 unsur)</w:t>
            </w:r>
          </w:p>
        </w:tc>
        <w:tc>
          <w:tcPr>
            <w:tcW w:w="708" w:type="dxa"/>
            <w:shd w:val="clear" w:color="auto" w:fill="auto"/>
          </w:tcPr>
          <w:p w14:paraId="089D2C6B">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w:t>
            </w:r>
          </w:p>
        </w:tc>
        <w:tc>
          <w:tcPr>
            <w:tcW w:w="3119" w:type="dxa"/>
            <w:shd w:val="clear" w:color="auto" w:fill="auto"/>
          </w:tcPr>
          <w:p w14:paraId="10BDBA39">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2B661CCD">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182B5706">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51B63268">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b. Sedang (ada 3 dari 4 unsur)</w:t>
            </w:r>
          </w:p>
        </w:tc>
        <w:tc>
          <w:tcPr>
            <w:tcW w:w="708" w:type="dxa"/>
            <w:shd w:val="clear" w:color="auto" w:fill="auto"/>
          </w:tcPr>
          <w:p w14:paraId="55B8A695">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w:t>
            </w:r>
          </w:p>
        </w:tc>
        <w:tc>
          <w:tcPr>
            <w:tcW w:w="3119" w:type="dxa"/>
            <w:shd w:val="clear" w:color="auto" w:fill="auto"/>
          </w:tcPr>
          <w:p w14:paraId="27DB8410">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5994B425">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076BA6CA">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47EA3D58">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c. Kurang (ada 2 dari 4 unsur)</w:t>
            </w:r>
          </w:p>
        </w:tc>
        <w:tc>
          <w:tcPr>
            <w:tcW w:w="708" w:type="dxa"/>
            <w:shd w:val="clear" w:color="auto" w:fill="auto"/>
          </w:tcPr>
          <w:p w14:paraId="00402806">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w:t>
            </w:r>
          </w:p>
        </w:tc>
        <w:tc>
          <w:tcPr>
            <w:tcW w:w="3119" w:type="dxa"/>
            <w:shd w:val="clear" w:color="auto" w:fill="auto"/>
          </w:tcPr>
          <w:p w14:paraId="384C137F">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7D327B4E">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38CFE2D5">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4.</w:t>
            </w:r>
          </w:p>
        </w:tc>
        <w:tc>
          <w:tcPr>
            <w:tcW w:w="5529" w:type="dxa"/>
            <w:shd w:val="clear" w:color="auto" w:fill="auto"/>
          </w:tcPr>
          <w:p w14:paraId="1A3DD4BB">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Adanya Norma/aturan tertulis yang berkaitan dengan kelompok dan perlindungan kawasan</w:t>
            </w:r>
          </w:p>
        </w:tc>
        <w:tc>
          <w:tcPr>
            <w:tcW w:w="708" w:type="dxa"/>
            <w:shd w:val="clear" w:color="auto" w:fill="auto"/>
          </w:tcPr>
          <w:p w14:paraId="5116CB1F">
            <w:pPr>
              <w:spacing w:after="0" w:line="240" w:lineRule="auto"/>
              <w:jc w:val="center"/>
              <w:rPr>
                <w:rFonts w:ascii="Times New Roman" w:hAnsi="Times New Roman" w:cs="Times New Roman"/>
                <w:color w:val="000000" w:themeColor="text1"/>
                <w:sz w:val="22"/>
                <w:szCs w:val="22"/>
                <w:lang w:val="sv-SE"/>
                <w14:textFill>
                  <w14:solidFill>
                    <w14:schemeClr w14:val="tx1"/>
                  </w14:solidFill>
                </w14:textFill>
              </w:rPr>
            </w:pPr>
          </w:p>
        </w:tc>
        <w:tc>
          <w:tcPr>
            <w:tcW w:w="3119" w:type="dxa"/>
            <w:shd w:val="clear" w:color="auto" w:fill="auto"/>
          </w:tcPr>
          <w:p w14:paraId="727B3F26">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p>
        </w:tc>
      </w:tr>
      <w:tr w14:paraId="3647CAE4">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14B14BC3">
            <w:pPr>
              <w:spacing w:after="0" w:line="240" w:lineRule="auto"/>
              <w:jc w:val="both"/>
              <w:rPr>
                <w:rFonts w:ascii="Times New Roman" w:hAnsi="Times New Roman" w:cs="Times New Roman"/>
                <w:b w:val="0"/>
                <w:bCs w:val="0"/>
                <w:color w:val="000000" w:themeColor="text1"/>
                <w:sz w:val="22"/>
                <w:szCs w:val="22"/>
                <w:lang w:val="sv-SE"/>
                <w14:textFill>
                  <w14:solidFill>
                    <w14:schemeClr w14:val="tx1"/>
                  </w14:solidFill>
                </w14:textFill>
              </w:rPr>
            </w:pPr>
          </w:p>
        </w:tc>
        <w:tc>
          <w:tcPr>
            <w:tcW w:w="5529" w:type="dxa"/>
            <w:shd w:val="clear" w:color="auto" w:fill="auto"/>
          </w:tcPr>
          <w:p w14:paraId="70B42505">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 &gt; 5 norma</w:t>
            </w:r>
          </w:p>
        </w:tc>
        <w:tc>
          <w:tcPr>
            <w:tcW w:w="708" w:type="dxa"/>
            <w:shd w:val="clear" w:color="auto" w:fill="auto"/>
          </w:tcPr>
          <w:p w14:paraId="49FD1EF6">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w:t>
            </w:r>
          </w:p>
        </w:tc>
        <w:tc>
          <w:tcPr>
            <w:tcW w:w="3119" w:type="dxa"/>
            <w:shd w:val="clear" w:color="auto" w:fill="auto"/>
          </w:tcPr>
          <w:p w14:paraId="0E999DCF">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29BD73A9">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7B3F6B9C">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4B103742">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b. 2 - 5 norma</w:t>
            </w:r>
          </w:p>
        </w:tc>
        <w:tc>
          <w:tcPr>
            <w:tcW w:w="708" w:type="dxa"/>
            <w:shd w:val="clear" w:color="auto" w:fill="auto"/>
          </w:tcPr>
          <w:p w14:paraId="4824B4EB">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w:t>
            </w:r>
          </w:p>
        </w:tc>
        <w:tc>
          <w:tcPr>
            <w:tcW w:w="3119" w:type="dxa"/>
            <w:shd w:val="clear" w:color="auto" w:fill="auto"/>
          </w:tcPr>
          <w:p w14:paraId="433D8253">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Lampirkan SK</w:t>
            </w:r>
          </w:p>
        </w:tc>
      </w:tr>
      <w:tr w14:paraId="3C4CB58D">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640AD523">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0E9F8924">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c. &lt; 2 norma</w:t>
            </w:r>
          </w:p>
        </w:tc>
        <w:tc>
          <w:tcPr>
            <w:tcW w:w="708" w:type="dxa"/>
            <w:shd w:val="clear" w:color="auto" w:fill="auto"/>
          </w:tcPr>
          <w:p w14:paraId="195CF35C">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w:t>
            </w:r>
          </w:p>
        </w:tc>
        <w:tc>
          <w:tcPr>
            <w:tcW w:w="3119" w:type="dxa"/>
            <w:shd w:val="clear" w:color="auto" w:fill="auto"/>
          </w:tcPr>
          <w:p w14:paraId="1DF0DCA0">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6EBEBCAD">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65DDAA60">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03DE2202">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JUMLAH I.</w:t>
            </w:r>
          </w:p>
        </w:tc>
        <w:tc>
          <w:tcPr>
            <w:tcW w:w="708" w:type="dxa"/>
            <w:shd w:val="clear" w:color="auto" w:fill="auto"/>
          </w:tcPr>
          <w:p w14:paraId="7BCB673D">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3119" w:type="dxa"/>
            <w:shd w:val="clear" w:color="auto" w:fill="auto"/>
          </w:tcPr>
          <w:p w14:paraId="4544780F">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3BB4C8B3">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265921E6">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II.</w:t>
            </w:r>
          </w:p>
        </w:tc>
        <w:tc>
          <w:tcPr>
            <w:tcW w:w="5529" w:type="dxa"/>
            <w:shd w:val="clear" w:color="auto" w:fill="auto"/>
          </w:tcPr>
          <w:p w14:paraId="44764182">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Aktivitas Kelompok (60%)</w:t>
            </w:r>
          </w:p>
        </w:tc>
        <w:tc>
          <w:tcPr>
            <w:tcW w:w="708" w:type="dxa"/>
            <w:shd w:val="clear" w:color="auto" w:fill="auto"/>
          </w:tcPr>
          <w:p w14:paraId="07BBE09C">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3119" w:type="dxa"/>
            <w:shd w:val="clear" w:color="auto" w:fill="auto"/>
          </w:tcPr>
          <w:p w14:paraId="4DA485FB">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6C49E4B7">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21843EB1">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1.</w:t>
            </w:r>
          </w:p>
        </w:tc>
        <w:tc>
          <w:tcPr>
            <w:tcW w:w="5529" w:type="dxa"/>
            <w:shd w:val="clear" w:color="auto" w:fill="auto"/>
          </w:tcPr>
          <w:p w14:paraId="6965C099">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Jumlah pengelola HD yang mengikuti pelatihan</w:t>
            </w:r>
          </w:p>
        </w:tc>
        <w:tc>
          <w:tcPr>
            <w:tcW w:w="708" w:type="dxa"/>
            <w:shd w:val="clear" w:color="auto" w:fill="auto"/>
          </w:tcPr>
          <w:p w14:paraId="7F9AA58A">
            <w:pPr>
              <w:spacing w:after="0" w:line="240" w:lineRule="auto"/>
              <w:jc w:val="center"/>
              <w:rPr>
                <w:rFonts w:ascii="Times New Roman" w:hAnsi="Times New Roman" w:cs="Times New Roman"/>
                <w:color w:val="000000" w:themeColor="text1"/>
                <w:sz w:val="22"/>
                <w:szCs w:val="22"/>
                <w:lang w:val="sv-SE"/>
                <w14:textFill>
                  <w14:solidFill>
                    <w14:schemeClr w14:val="tx1"/>
                  </w14:solidFill>
                </w14:textFill>
              </w:rPr>
            </w:pPr>
          </w:p>
        </w:tc>
        <w:tc>
          <w:tcPr>
            <w:tcW w:w="3119" w:type="dxa"/>
            <w:shd w:val="clear" w:color="auto" w:fill="auto"/>
          </w:tcPr>
          <w:p w14:paraId="6ACD97EA">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p>
        </w:tc>
      </w:tr>
      <w:tr w14:paraId="6BF24FEC">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69D8324B">
            <w:pPr>
              <w:spacing w:after="0" w:line="240" w:lineRule="auto"/>
              <w:jc w:val="both"/>
              <w:rPr>
                <w:rFonts w:ascii="Times New Roman" w:hAnsi="Times New Roman" w:cs="Times New Roman"/>
                <w:b w:val="0"/>
                <w:bCs w:val="0"/>
                <w:color w:val="000000" w:themeColor="text1"/>
                <w:sz w:val="22"/>
                <w:szCs w:val="22"/>
                <w:lang w:val="sv-SE"/>
                <w14:textFill>
                  <w14:solidFill>
                    <w14:schemeClr w14:val="tx1"/>
                  </w14:solidFill>
                </w14:textFill>
              </w:rPr>
            </w:pPr>
          </w:p>
        </w:tc>
        <w:tc>
          <w:tcPr>
            <w:tcW w:w="5529" w:type="dxa"/>
            <w:shd w:val="clear" w:color="auto" w:fill="auto"/>
          </w:tcPr>
          <w:p w14:paraId="260E6427">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 &gt; 5 orang</w:t>
            </w:r>
          </w:p>
        </w:tc>
        <w:tc>
          <w:tcPr>
            <w:tcW w:w="708" w:type="dxa"/>
            <w:shd w:val="clear" w:color="auto" w:fill="auto"/>
          </w:tcPr>
          <w:p w14:paraId="1124FE25">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w:t>
            </w:r>
          </w:p>
        </w:tc>
        <w:tc>
          <w:tcPr>
            <w:tcW w:w="3119" w:type="dxa"/>
            <w:shd w:val="clear" w:color="auto" w:fill="auto"/>
          </w:tcPr>
          <w:p w14:paraId="533679FA">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3BB2ACD9">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49F10459">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3E40AEA9">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b. 2 – 5 orang</w:t>
            </w:r>
          </w:p>
        </w:tc>
        <w:tc>
          <w:tcPr>
            <w:tcW w:w="708" w:type="dxa"/>
            <w:shd w:val="clear" w:color="auto" w:fill="auto"/>
          </w:tcPr>
          <w:p w14:paraId="52796B8D">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w:t>
            </w:r>
          </w:p>
        </w:tc>
        <w:tc>
          <w:tcPr>
            <w:tcW w:w="3119" w:type="dxa"/>
            <w:shd w:val="clear" w:color="auto" w:fill="auto"/>
          </w:tcPr>
          <w:p w14:paraId="171FD81E">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5950CFCA">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509DD247">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5198D8A4">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c. &lt; 2 orang</w:t>
            </w:r>
          </w:p>
        </w:tc>
        <w:tc>
          <w:tcPr>
            <w:tcW w:w="708" w:type="dxa"/>
            <w:shd w:val="clear" w:color="auto" w:fill="auto"/>
          </w:tcPr>
          <w:p w14:paraId="6FBBE62A">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w:t>
            </w:r>
          </w:p>
        </w:tc>
        <w:tc>
          <w:tcPr>
            <w:tcW w:w="3119" w:type="dxa"/>
            <w:shd w:val="clear" w:color="auto" w:fill="auto"/>
          </w:tcPr>
          <w:p w14:paraId="1679CA41">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4742C56A">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0C4070B9">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2.</w:t>
            </w:r>
          </w:p>
        </w:tc>
        <w:tc>
          <w:tcPr>
            <w:tcW w:w="5529" w:type="dxa"/>
            <w:shd w:val="clear" w:color="auto" w:fill="auto"/>
          </w:tcPr>
          <w:p w14:paraId="1F3111BF">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Rencana pengembangan usaha HHBK dalam pengelolaan HD ;</w:t>
            </w:r>
          </w:p>
        </w:tc>
        <w:tc>
          <w:tcPr>
            <w:tcW w:w="708" w:type="dxa"/>
            <w:shd w:val="clear" w:color="auto" w:fill="auto"/>
          </w:tcPr>
          <w:p w14:paraId="38828A21">
            <w:pPr>
              <w:spacing w:after="0" w:line="240" w:lineRule="auto"/>
              <w:jc w:val="center"/>
              <w:rPr>
                <w:rFonts w:ascii="Times New Roman" w:hAnsi="Times New Roman" w:cs="Times New Roman"/>
                <w:color w:val="000000" w:themeColor="text1"/>
                <w:sz w:val="22"/>
                <w:szCs w:val="22"/>
                <w:lang w:val="sv-SE"/>
                <w14:textFill>
                  <w14:solidFill>
                    <w14:schemeClr w14:val="tx1"/>
                  </w14:solidFill>
                </w14:textFill>
              </w:rPr>
            </w:pPr>
          </w:p>
        </w:tc>
        <w:tc>
          <w:tcPr>
            <w:tcW w:w="3119" w:type="dxa"/>
            <w:shd w:val="clear" w:color="auto" w:fill="auto"/>
          </w:tcPr>
          <w:p w14:paraId="02F9E13E">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p>
        </w:tc>
      </w:tr>
      <w:tr w14:paraId="358755FE">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679C4EB2">
            <w:pPr>
              <w:spacing w:after="0" w:line="240" w:lineRule="auto"/>
              <w:jc w:val="both"/>
              <w:rPr>
                <w:rFonts w:ascii="Times New Roman" w:hAnsi="Times New Roman" w:cs="Times New Roman"/>
                <w:b w:val="0"/>
                <w:bCs w:val="0"/>
                <w:color w:val="000000" w:themeColor="text1"/>
                <w:sz w:val="22"/>
                <w:szCs w:val="22"/>
                <w:lang w:val="sv-SE"/>
                <w14:textFill>
                  <w14:solidFill>
                    <w14:schemeClr w14:val="tx1"/>
                  </w14:solidFill>
                </w14:textFill>
              </w:rPr>
            </w:pPr>
          </w:p>
        </w:tc>
        <w:tc>
          <w:tcPr>
            <w:tcW w:w="5529" w:type="dxa"/>
            <w:shd w:val="clear" w:color="auto" w:fill="auto"/>
          </w:tcPr>
          <w:p w14:paraId="7283F5AD">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 &gt; 5 rencana usaha</w:t>
            </w:r>
          </w:p>
        </w:tc>
        <w:tc>
          <w:tcPr>
            <w:tcW w:w="708" w:type="dxa"/>
            <w:shd w:val="clear" w:color="auto" w:fill="auto"/>
          </w:tcPr>
          <w:p w14:paraId="4B74E715">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w:t>
            </w:r>
          </w:p>
        </w:tc>
        <w:tc>
          <w:tcPr>
            <w:tcW w:w="3119" w:type="dxa"/>
            <w:shd w:val="clear" w:color="auto" w:fill="auto"/>
          </w:tcPr>
          <w:p w14:paraId="5ED1E692">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6CF56614">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23FABAC8">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64DC4566">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b. 3 – 5 rencana usaha</w:t>
            </w:r>
          </w:p>
        </w:tc>
        <w:tc>
          <w:tcPr>
            <w:tcW w:w="708" w:type="dxa"/>
            <w:shd w:val="clear" w:color="auto" w:fill="auto"/>
          </w:tcPr>
          <w:p w14:paraId="715F437A">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w:t>
            </w:r>
          </w:p>
        </w:tc>
        <w:tc>
          <w:tcPr>
            <w:tcW w:w="3119" w:type="dxa"/>
            <w:shd w:val="clear" w:color="auto" w:fill="auto"/>
          </w:tcPr>
          <w:p w14:paraId="6EAC8EF6">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3EB947A8">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1D5A1111">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234D8023">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c. &lt; 3 rencana usaha</w:t>
            </w:r>
          </w:p>
        </w:tc>
        <w:tc>
          <w:tcPr>
            <w:tcW w:w="708" w:type="dxa"/>
            <w:shd w:val="clear" w:color="auto" w:fill="auto"/>
          </w:tcPr>
          <w:p w14:paraId="6F3972B6">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w:t>
            </w:r>
          </w:p>
        </w:tc>
        <w:tc>
          <w:tcPr>
            <w:tcW w:w="3119" w:type="dxa"/>
            <w:shd w:val="clear" w:color="auto" w:fill="auto"/>
          </w:tcPr>
          <w:p w14:paraId="09F2B292">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7B37A7CA">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3" w:hRule="atLeast"/>
        </w:trPr>
        <w:tc>
          <w:tcPr>
            <w:tcW w:w="562" w:type="dxa"/>
            <w:shd w:val="clear" w:color="auto" w:fill="auto"/>
          </w:tcPr>
          <w:p w14:paraId="64FECFD8">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3.</w:t>
            </w:r>
          </w:p>
        </w:tc>
        <w:tc>
          <w:tcPr>
            <w:tcW w:w="5529" w:type="dxa"/>
            <w:shd w:val="clear" w:color="auto" w:fill="auto"/>
          </w:tcPr>
          <w:p w14:paraId="1E788D2D">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Kegiatan-kegiatan pengembangan HHBK yang berjalan/ menambah penghasilan :</w:t>
            </w:r>
          </w:p>
        </w:tc>
        <w:tc>
          <w:tcPr>
            <w:tcW w:w="708" w:type="dxa"/>
            <w:shd w:val="clear" w:color="auto" w:fill="auto"/>
          </w:tcPr>
          <w:p w14:paraId="11CCCCEB">
            <w:pPr>
              <w:spacing w:after="0" w:line="240" w:lineRule="auto"/>
              <w:jc w:val="center"/>
              <w:rPr>
                <w:rFonts w:ascii="Times New Roman" w:hAnsi="Times New Roman" w:cs="Times New Roman"/>
                <w:color w:val="000000" w:themeColor="text1"/>
                <w:sz w:val="22"/>
                <w:szCs w:val="22"/>
                <w:lang w:val="sv-SE"/>
                <w14:textFill>
                  <w14:solidFill>
                    <w14:schemeClr w14:val="tx1"/>
                  </w14:solidFill>
                </w14:textFill>
              </w:rPr>
            </w:pPr>
          </w:p>
        </w:tc>
        <w:tc>
          <w:tcPr>
            <w:tcW w:w="3119" w:type="dxa"/>
            <w:shd w:val="clear" w:color="auto" w:fill="auto"/>
          </w:tcPr>
          <w:p w14:paraId="78DE177A">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p>
        </w:tc>
      </w:tr>
      <w:tr w14:paraId="1919F5EF">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212CF5FB">
            <w:pPr>
              <w:spacing w:after="0" w:line="240" w:lineRule="auto"/>
              <w:jc w:val="both"/>
              <w:rPr>
                <w:rFonts w:ascii="Times New Roman" w:hAnsi="Times New Roman" w:cs="Times New Roman"/>
                <w:b w:val="0"/>
                <w:bCs w:val="0"/>
                <w:color w:val="000000" w:themeColor="text1"/>
                <w:sz w:val="22"/>
                <w:szCs w:val="22"/>
                <w:lang w:val="sv-SE"/>
                <w14:textFill>
                  <w14:solidFill>
                    <w14:schemeClr w14:val="tx1"/>
                  </w14:solidFill>
                </w14:textFill>
              </w:rPr>
            </w:pPr>
          </w:p>
        </w:tc>
        <w:tc>
          <w:tcPr>
            <w:tcW w:w="5529" w:type="dxa"/>
            <w:shd w:val="clear" w:color="auto" w:fill="auto"/>
          </w:tcPr>
          <w:p w14:paraId="54E572ED">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 &gt; 5 kegiatan</w:t>
            </w:r>
          </w:p>
        </w:tc>
        <w:tc>
          <w:tcPr>
            <w:tcW w:w="708" w:type="dxa"/>
            <w:shd w:val="clear" w:color="auto" w:fill="auto"/>
          </w:tcPr>
          <w:p w14:paraId="0176D8A6">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w:t>
            </w:r>
          </w:p>
        </w:tc>
        <w:tc>
          <w:tcPr>
            <w:tcW w:w="3119" w:type="dxa"/>
            <w:shd w:val="clear" w:color="auto" w:fill="auto"/>
          </w:tcPr>
          <w:p w14:paraId="47621705">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6129FD66">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13FC8BF9">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5A928122">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b. 3 – 5 kegiatan</w:t>
            </w:r>
          </w:p>
        </w:tc>
        <w:tc>
          <w:tcPr>
            <w:tcW w:w="708" w:type="dxa"/>
            <w:shd w:val="clear" w:color="auto" w:fill="auto"/>
          </w:tcPr>
          <w:p w14:paraId="4170DF9A">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w:t>
            </w:r>
          </w:p>
        </w:tc>
        <w:tc>
          <w:tcPr>
            <w:tcW w:w="3119" w:type="dxa"/>
            <w:shd w:val="clear" w:color="auto" w:fill="auto"/>
          </w:tcPr>
          <w:p w14:paraId="223EE027">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Sebutkan :</w:t>
            </w:r>
          </w:p>
        </w:tc>
      </w:tr>
      <w:tr w14:paraId="300A3996">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22EB2BF7">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33026A83">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c. &lt; 3 kegiatan</w:t>
            </w:r>
          </w:p>
        </w:tc>
        <w:tc>
          <w:tcPr>
            <w:tcW w:w="708" w:type="dxa"/>
            <w:shd w:val="clear" w:color="auto" w:fill="auto"/>
          </w:tcPr>
          <w:p w14:paraId="7EBCFDE0">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w:t>
            </w:r>
          </w:p>
        </w:tc>
        <w:tc>
          <w:tcPr>
            <w:tcW w:w="3119" w:type="dxa"/>
            <w:shd w:val="clear" w:color="auto" w:fill="auto"/>
          </w:tcPr>
          <w:p w14:paraId="336475DC">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2903F6F8">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134FFFF8">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4.</w:t>
            </w:r>
          </w:p>
        </w:tc>
        <w:tc>
          <w:tcPr>
            <w:tcW w:w="5529" w:type="dxa"/>
            <w:shd w:val="clear" w:color="auto" w:fill="auto"/>
          </w:tcPr>
          <w:p w14:paraId="7F1B83B7">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Kegiatan rehabilitas yang telah dilaksanakan :</w:t>
            </w:r>
          </w:p>
        </w:tc>
        <w:tc>
          <w:tcPr>
            <w:tcW w:w="708" w:type="dxa"/>
            <w:shd w:val="clear" w:color="auto" w:fill="auto"/>
          </w:tcPr>
          <w:p w14:paraId="5D98ED47">
            <w:pPr>
              <w:spacing w:after="0" w:line="240" w:lineRule="auto"/>
              <w:jc w:val="center"/>
              <w:rPr>
                <w:rFonts w:ascii="Times New Roman" w:hAnsi="Times New Roman" w:cs="Times New Roman"/>
                <w:color w:val="000000" w:themeColor="text1"/>
                <w:sz w:val="22"/>
                <w:szCs w:val="22"/>
                <w:lang w:val="sv-SE"/>
                <w14:textFill>
                  <w14:solidFill>
                    <w14:schemeClr w14:val="tx1"/>
                  </w14:solidFill>
                </w14:textFill>
              </w:rPr>
            </w:pPr>
          </w:p>
        </w:tc>
        <w:tc>
          <w:tcPr>
            <w:tcW w:w="3119" w:type="dxa"/>
            <w:shd w:val="clear" w:color="auto" w:fill="auto"/>
          </w:tcPr>
          <w:p w14:paraId="4ED3A8EA">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p>
        </w:tc>
      </w:tr>
      <w:tr w14:paraId="72D183C0">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18265965">
            <w:pPr>
              <w:spacing w:after="0" w:line="240" w:lineRule="auto"/>
              <w:jc w:val="both"/>
              <w:rPr>
                <w:rFonts w:ascii="Times New Roman" w:hAnsi="Times New Roman" w:cs="Times New Roman"/>
                <w:b w:val="0"/>
                <w:bCs w:val="0"/>
                <w:color w:val="000000" w:themeColor="text1"/>
                <w:sz w:val="22"/>
                <w:szCs w:val="22"/>
                <w:lang w:val="sv-SE"/>
                <w14:textFill>
                  <w14:solidFill>
                    <w14:schemeClr w14:val="tx1"/>
                  </w14:solidFill>
                </w14:textFill>
              </w:rPr>
            </w:pPr>
          </w:p>
        </w:tc>
        <w:tc>
          <w:tcPr>
            <w:tcW w:w="5529" w:type="dxa"/>
            <w:shd w:val="clear" w:color="auto" w:fill="auto"/>
          </w:tcPr>
          <w:p w14:paraId="12402E3E">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a. vegetative dan bangunan konservasi tanah air</w:t>
            </w:r>
          </w:p>
        </w:tc>
        <w:tc>
          <w:tcPr>
            <w:tcW w:w="708" w:type="dxa"/>
            <w:shd w:val="clear" w:color="auto" w:fill="auto"/>
          </w:tcPr>
          <w:p w14:paraId="433ABCFE">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w:t>
            </w:r>
          </w:p>
        </w:tc>
        <w:tc>
          <w:tcPr>
            <w:tcW w:w="3119" w:type="dxa"/>
            <w:shd w:val="clear" w:color="auto" w:fill="auto"/>
          </w:tcPr>
          <w:p w14:paraId="3F712627">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Sebutkan :</w:t>
            </w:r>
          </w:p>
        </w:tc>
      </w:tr>
      <w:tr w14:paraId="2AA60041">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6AB857EE">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3D1236FA">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 xml:space="preserve">b. Vegetatif tanamn MPTs berkayu (durian, kemiri dll) </w:t>
            </w:r>
          </w:p>
        </w:tc>
        <w:tc>
          <w:tcPr>
            <w:tcW w:w="708" w:type="dxa"/>
            <w:shd w:val="clear" w:color="auto" w:fill="auto"/>
          </w:tcPr>
          <w:p w14:paraId="7ED3F5C6">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w:t>
            </w:r>
          </w:p>
        </w:tc>
        <w:tc>
          <w:tcPr>
            <w:tcW w:w="3119" w:type="dxa"/>
            <w:shd w:val="clear" w:color="auto" w:fill="auto"/>
          </w:tcPr>
          <w:p w14:paraId="2488AEC8">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30B056F2">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3D649009">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55F67B9D">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c. Vegetatif tanaman MPTs tidak berkayu (kopi, cokelat)</w:t>
            </w:r>
          </w:p>
        </w:tc>
        <w:tc>
          <w:tcPr>
            <w:tcW w:w="708" w:type="dxa"/>
            <w:shd w:val="clear" w:color="auto" w:fill="auto"/>
          </w:tcPr>
          <w:p w14:paraId="6BF127C6">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w:t>
            </w:r>
          </w:p>
        </w:tc>
        <w:tc>
          <w:tcPr>
            <w:tcW w:w="3119" w:type="dxa"/>
            <w:shd w:val="clear" w:color="auto" w:fill="auto"/>
          </w:tcPr>
          <w:p w14:paraId="1D8FCCCB">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27D1C20D">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78045B86">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5.</w:t>
            </w:r>
          </w:p>
        </w:tc>
        <w:tc>
          <w:tcPr>
            <w:tcW w:w="5529" w:type="dxa"/>
            <w:shd w:val="clear" w:color="auto" w:fill="auto"/>
          </w:tcPr>
          <w:p w14:paraId="5A382D2C">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Kemitraan usaha :</w:t>
            </w:r>
          </w:p>
        </w:tc>
        <w:tc>
          <w:tcPr>
            <w:tcW w:w="708" w:type="dxa"/>
            <w:shd w:val="clear" w:color="auto" w:fill="auto"/>
          </w:tcPr>
          <w:p w14:paraId="3829D6D0">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3119" w:type="dxa"/>
            <w:shd w:val="clear" w:color="auto" w:fill="auto"/>
          </w:tcPr>
          <w:p w14:paraId="3822BDA2">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7946C126">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 w:hRule="atLeast"/>
        </w:trPr>
        <w:tc>
          <w:tcPr>
            <w:tcW w:w="562" w:type="dxa"/>
            <w:shd w:val="clear" w:color="auto" w:fill="auto"/>
          </w:tcPr>
          <w:p w14:paraId="350E2A2A">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7B7464FF">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a. Telah memiliki koperasi yang memasarkan HHBK</w:t>
            </w:r>
          </w:p>
        </w:tc>
        <w:tc>
          <w:tcPr>
            <w:tcW w:w="708" w:type="dxa"/>
            <w:shd w:val="clear" w:color="auto" w:fill="auto"/>
          </w:tcPr>
          <w:p w14:paraId="3B537F60">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w:t>
            </w:r>
          </w:p>
        </w:tc>
        <w:tc>
          <w:tcPr>
            <w:tcW w:w="3119" w:type="dxa"/>
            <w:shd w:val="clear" w:color="auto" w:fill="auto"/>
          </w:tcPr>
          <w:p w14:paraId="0D4A5FB8">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773A6151">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2A6CCE8F">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2B3D1240">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b. Telah memiliki koperasi namun belum memasarkan HHBK</w:t>
            </w:r>
          </w:p>
        </w:tc>
        <w:tc>
          <w:tcPr>
            <w:tcW w:w="708" w:type="dxa"/>
            <w:shd w:val="clear" w:color="auto" w:fill="auto"/>
          </w:tcPr>
          <w:p w14:paraId="60F1F3F8">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w:t>
            </w:r>
          </w:p>
        </w:tc>
        <w:tc>
          <w:tcPr>
            <w:tcW w:w="3119" w:type="dxa"/>
            <w:shd w:val="clear" w:color="auto" w:fill="auto"/>
          </w:tcPr>
          <w:p w14:paraId="3D295F50">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5D4103E0">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15B457CA">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4298A17F">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c. Belum memiliki koperasi</w:t>
            </w:r>
          </w:p>
        </w:tc>
        <w:tc>
          <w:tcPr>
            <w:tcW w:w="708" w:type="dxa"/>
            <w:shd w:val="clear" w:color="auto" w:fill="auto"/>
          </w:tcPr>
          <w:p w14:paraId="7478590E">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w:t>
            </w:r>
          </w:p>
        </w:tc>
        <w:tc>
          <w:tcPr>
            <w:tcW w:w="3119" w:type="dxa"/>
            <w:shd w:val="clear" w:color="auto" w:fill="auto"/>
          </w:tcPr>
          <w:p w14:paraId="47FD58B5">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32AF03E5">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223E8656">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6.</w:t>
            </w:r>
          </w:p>
        </w:tc>
        <w:tc>
          <w:tcPr>
            <w:tcW w:w="5529" w:type="dxa"/>
            <w:shd w:val="clear" w:color="auto" w:fill="auto"/>
          </w:tcPr>
          <w:p w14:paraId="53B4628A">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Pertemuan rutin pengelola HD</w:t>
            </w:r>
          </w:p>
        </w:tc>
        <w:tc>
          <w:tcPr>
            <w:tcW w:w="708" w:type="dxa"/>
            <w:shd w:val="clear" w:color="auto" w:fill="auto"/>
          </w:tcPr>
          <w:p w14:paraId="4A35250B">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3119" w:type="dxa"/>
            <w:shd w:val="clear" w:color="auto" w:fill="auto"/>
          </w:tcPr>
          <w:p w14:paraId="73DAF9D3">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22990233">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7F3545EC">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39C877DB">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 &gt; 1 kali dalam sebulan</w:t>
            </w:r>
          </w:p>
        </w:tc>
        <w:tc>
          <w:tcPr>
            <w:tcW w:w="708" w:type="dxa"/>
            <w:shd w:val="clear" w:color="auto" w:fill="auto"/>
          </w:tcPr>
          <w:p w14:paraId="5AAACF9E">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w:t>
            </w:r>
          </w:p>
        </w:tc>
        <w:tc>
          <w:tcPr>
            <w:tcW w:w="3119" w:type="dxa"/>
            <w:shd w:val="clear" w:color="auto" w:fill="auto"/>
          </w:tcPr>
          <w:p w14:paraId="65EBD00A">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Sebutkan :</w:t>
            </w:r>
          </w:p>
        </w:tc>
      </w:tr>
      <w:tr w14:paraId="6D713526">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62F62DF3">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194DB1CD">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b. &lt; 1 kali dalam sebulan</w:t>
            </w:r>
          </w:p>
        </w:tc>
        <w:tc>
          <w:tcPr>
            <w:tcW w:w="708" w:type="dxa"/>
            <w:shd w:val="clear" w:color="auto" w:fill="auto"/>
          </w:tcPr>
          <w:p w14:paraId="54AAB5E0">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w:t>
            </w:r>
          </w:p>
        </w:tc>
        <w:tc>
          <w:tcPr>
            <w:tcW w:w="3119" w:type="dxa"/>
            <w:shd w:val="clear" w:color="auto" w:fill="auto"/>
          </w:tcPr>
          <w:p w14:paraId="34103941">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5D4DF4C5">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2B10D809">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403C9408">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c. Tidak rutin</w:t>
            </w:r>
          </w:p>
        </w:tc>
        <w:tc>
          <w:tcPr>
            <w:tcW w:w="708" w:type="dxa"/>
            <w:shd w:val="clear" w:color="auto" w:fill="auto"/>
          </w:tcPr>
          <w:p w14:paraId="6F07CAAC">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w:t>
            </w:r>
          </w:p>
        </w:tc>
        <w:tc>
          <w:tcPr>
            <w:tcW w:w="3119" w:type="dxa"/>
            <w:shd w:val="clear" w:color="auto" w:fill="auto"/>
          </w:tcPr>
          <w:p w14:paraId="18F72B89">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5DEFCA35">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12B406C8">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1F74D8A3">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JUMLAH II.</w:t>
            </w:r>
          </w:p>
        </w:tc>
        <w:tc>
          <w:tcPr>
            <w:tcW w:w="708" w:type="dxa"/>
            <w:shd w:val="clear" w:color="auto" w:fill="auto"/>
          </w:tcPr>
          <w:p w14:paraId="60A79E9C">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3119" w:type="dxa"/>
            <w:shd w:val="clear" w:color="auto" w:fill="auto"/>
          </w:tcPr>
          <w:p w14:paraId="197CA5C2">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5B24AFD9">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532D3F13">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III.</w:t>
            </w:r>
          </w:p>
        </w:tc>
        <w:tc>
          <w:tcPr>
            <w:tcW w:w="5529" w:type="dxa"/>
            <w:shd w:val="clear" w:color="auto" w:fill="auto"/>
          </w:tcPr>
          <w:p w14:paraId="09D9A45B">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Pelaporan (20%)</w:t>
            </w:r>
          </w:p>
        </w:tc>
        <w:tc>
          <w:tcPr>
            <w:tcW w:w="708" w:type="dxa"/>
            <w:shd w:val="clear" w:color="auto" w:fill="auto"/>
          </w:tcPr>
          <w:p w14:paraId="7D82F279">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3119" w:type="dxa"/>
            <w:shd w:val="clear" w:color="auto" w:fill="auto"/>
          </w:tcPr>
          <w:p w14:paraId="239D0DBC">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560B4B7E">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297B0DC5">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1.</w:t>
            </w:r>
          </w:p>
        </w:tc>
        <w:tc>
          <w:tcPr>
            <w:tcW w:w="5529" w:type="dxa"/>
            <w:shd w:val="clear" w:color="auto" w:fill="auto"/>
          </w:tcPr>
          <w:p w14:paraId="70CC14A8">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Penyampaian laporan</w:t>
            </w:r>
          </w:p>
        </w:tc>
        <w:tc>
          <w:tcPr>
            <w:tcW w:w="708" w:type="dxa"/>
            <w:shd w:val="clear" w:color="auto" w:fill="auto"/>
          </w:tcPr>
          <w:p w14:paraId="604165EB">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3119" w:type="dxa"/>
            <w:shd w:val="clear" w:color="auto" w:fill="auto"/>
          </w:tcPr>
          <w:p w14:paraId="47EFCFFF">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6500FBF0">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0A5C0328">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06F1DBF8">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 Tidak lengkap</w:t>
            </w:r>
          </w:p>
        </w:tc>
        <w:tc>
          <w:tcPr>
            <w:tcW w:w="708" w:type="dxa"/>
            <w:shd w:val="clear" w:color="auto" w:fill="auto"/>
          </w:tcPr>
          <w:p w14:paraId="079062AF">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w:t>
            </w:r>
          </w:p>
        </w:tc>
        <w:tc>
          <w:tcPr>
            <w:tcW w:w="3119" w:type="dxa"/>
            <w:shd w:val="clear" w:color="auto" w:fill="auto"/>
          </w:tcPr>
          <w:p w14:paraId="49267FC8">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Copy dokumen</w:t>
            </w:r>
          </w:p>
        </w:tc>
      </w:tr>
      <w:tr w14:paraId="6F7B6392">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71CE0FAF">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093CA330">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b. Tepat waktu tapi tidak lengkap</w:t>
            </w:r>
          </w:p>
        </w:tc>
        <w:tc>
          <w:tcPr>
            <w:tcW w:w="708" w:type="dxa"/>
            <w:shd w:val="clear" w:color="auto" w:fill="auto"/>
          </w:tcPr>
          <w:p w14:paraId="764D3097">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w:t>
            </w:r>
          </w:p>
        </w:tc>
        <w:tc>
          <w:tcPr>
            <w:tcW w:w="3119" w:type="dxa"/>
            <w:shd w:val="clear" w:color="auto" w:fill="auto"/>
          </w:tcPr>
          <w:p w14:paraId="0A4E0DFD">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3B72ACA3">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6BA7CEDF">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1FB84483">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c. Tidak tepat waktu dan tidak lengkap</w:t>
            </w:r>
          </w:p>
        </w:tc>
        <w:tc>
          <w:tcPr>
            <w:tcW w:w="708" w:type="dxa"/>
            <w:shd w:val="clear" w:color="auto" w:fill="auto"/>
          </w:tcPr>
          <w:p w14:paraId="7B292709">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w:t>
            </w:r>
          </w:p>
        </w:tc>
        <w:tc>
          <w:tcPr>
            <w:tcW w:w="3119" w:type="dxa"/>
            <w:shd w:val="clear" w:color="auto" w:fill="auto"/>
          </w:tcPr>
          <w:p w14:paraId="74CB6F1D">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3F85B939">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3955C1DB">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2.</w:t>
            </w:r>
          </w:p>
        </w:tc>
        <w:tc>
          <w:tcPr>
            <w:tcW w:w="5529" w:type="dxa"/>
            <w:shd w:val="clear" w:color="auto" w:fill="auto"/>
          </w:tcPr>
          <w:p w14:paraId="29FAC3D4">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Dokumentasi kegiatan</w:t>
            </w:r>
          </w:p>
        </w:tc>
        <w:tc>
          <w:tcPr>
            <w:tcW w:w="708" w:type="dxa"/>
            <w:shd w:val="clear" w:color="auto" w:fill="auto"/>
          </w:tcPr>
          <w:p w14:paraId="14376A9E">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3119" w:type="dxa"/>
            <w:shd w:val="clear" w:color="auto" w:fill="auto"/>
          </w:tcPr>
          <w:p w14:paraId="2D01F7A1">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252C1AE8">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081FA277">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40A87224">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a. Ada dokumen foto mulai persiapan sd kegiatan distribusi</w:t>
            </w:r>
          </w:p>
        </w:tc>
        <w:tc>
          <w:tcPr>
            <w:tcW w:w="708" w:type="dxa"/>
            <w:shd w:val="clear" w:color="auto" w:fill="auto"/>
          </w:tcPr>
          <w:p w14:paraId="192FB0CA">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w:t>
            </w:r>
          </w:p>
        </w:tc>
        <w:tc>
          <w:tcPr>
            <w:tcW w:w="3119" w:type="dxa"/>
            <w:shd w:val="clear" w:color="auto" w:fill="auto"/>
          </w:tcPr>
          <w:p w14:paraId="559DE376">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r w14:paraId="01E77A9D">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2811057B">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300C194D">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 xml:space="preserve">b. Ada dokumen foto mulai persiapan, tapi tidak ada foto distribusi </w:t>
            </w:r>
          </w:p>
        </w:tc>
        <w:tc>
          <w:tcPr>
            <w:tcW w:w="708" w:type="dxa"/>
            <w:shd w:val="clear" w:color="auto" w:fill="auto"/>
          </w:tcPr>
          <w:p w14:paraId="5B335BBD">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w:t>
            </w:r>
          </w:p>
        </w:tc>
        <w:tc>
          <w:tcPr>
            <w:tcW w:w="3119" w:type="dxa"/>
            <w:shd w:val="clear" w:color="auto" w:fill="auto"/>
          </w:tcPr>
          <w:p w14:paraId="5C534769">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Sebutkan :</w:t>
            </w:r>
          </w:p>
        </w:tc>
      </w:tr>
      <w:tr w14:paraId="6A202CBC">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562" w:type="dxa"/>
            <w:shd w:val="clear" w:color="auto" w:fill="auto"/>
          </w:tcPr>
          <w:p w14:paraId="285788FE">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5529" w:type="dxa"/>
            <w:shd w:val="clear" w:color="auto" w:fill="auto"/>
          </w:tcPr>
          <w:p w14:paraId="412F3558">
            <w:pPr>
              <w:spacing w:after="0" w:line="240" w:lineRule="auto"/>
              <w:jc w:val="both"/>
              <w:rPr>
                <w:rFonts w:ascii="Times New Roman" w:hAnsi="Times New Roman" w:cs="Times New Roman"/>
                <w:color w:val="000000" w:themeColor="text1"/>
                <w:sz w:val="22"/>
                <w:szCs w:val="22"/>
                <w:lang w:val="sv-SE"/>
                <w14:textFill>
                  <w14:solidFill>
                    <w14:schemeClr w14:val="tx1"/>
                  </w14:solidFill>
                </w14:textFill>
              </w:rPr>
            </w:pPr>
            <w:r>
              <w:rPr>
                <w:rFonts w:ascii="Times New Roman" w:hAnsi="Times New Roman" w:cs="Times New Roman"/>
                <w:color w:val="000000" w:themeColor="text1"/>
                <w:sz w:val="22"/>
                <w:szCs w:val="22"/>
                <w:lang w:val="sv-SE"/>
                <w14:textFill>
                  <w14:solidFill>
                    <w14:schemeClr w14:val="tx1"/>
                  </w14:solidFill>
                </w14:textFill>
              </w:rPr>
              <w:t>c. Ada dokumen foto mulai persiapan sd kegiatan distribusi tapi tidak lengkap</w:t>
            </w:r>
          </w:p>
        </w:tc>
        <w:tc>
          <w:tcPr>
            <w:tcW w:w="708" w:type="dxa"/>
            <w:shd w:val="clear" w:color="auto" w:fill="auto"/>
          </w:tcPr>
          <w:p w14:paraId="4B1E3CDF">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w:t>
            </w:r>
          </w:p>
        </w:tc>
        <w:tc>
          <w:tcPr>
            <w:tcW w:w="3119" w:type="dxa"/>
            <w:shd w:val="clear" w:color="auto" w:fill="auto"/>
          </w:tcPr>
          <w:p w14:paraId="621210ED">
            <w:pPr>
              <w:spacing w:after="0" w:line="240" w:lineRule="auto"/>
              <w:jc w:val="both"/>
              <w:rPr>
                <w:rFonts w:ascii="Times New Roman" w:hAnsi="Times New Roman" w:cs="Times New Roman"/>
                <w:color w:val="000000" w:themeColor="text1"/>
                <w:sz w:val="22"/>
                <w:szCs w:val="22"/>
                <w14:textFill>
                  <w14:solidFill>
                    <w14:schemeClr w14:val="tx1"/>
                  </w14:solidFill>
                </w14:textFill>
              </w:rPr>
            </w:pPr>
          </w:p>
        </w:tc>
      </w:tr>
    </w:tbl>
    <w:p w14:paraId="6F6123ED">
      <w:pPr>
        <w:spacing w:line="240" w:lineRule="auto"/>
        <w:jc w:val="both"/>
        <w:rPr>
          <w:rFonts w:ascii="Times New Roman" w:hAnsi="Times New Roman" w:cs="Times New Roman"/>
          <w:b/>
          <w:bCs/>
        </w:rPr>
      </w:pPr>
    </w:p>
    <w:p w14:paraId="7CAC300F">
      <w:pPr>
        <w:spacing w:line="240" w:lineRule="auto"/>
        <w:jc w:val="both"/>
        <w:rPr>
          <w:rFonts w:ascii="Times New Roman" w:hAnsi="Times New Roman" w:cs="Times New Roman"/>
          <w:b/>
          <w:bCs/>
        </w:rPr>
      </w:pPr>
      <w:r>
        <w:rPr>
          <w:rFonts w:ascii="Times New Roman" w:hAnsi="Times New Roman" w:cs="Times New Roman"/>
          <w:b/>
          <w:bCs/>
        </w:rPr>
        <w:t>II. Rekapitulasi nilai</w:t>
      </w:r>
    </w:p>
    <w:tbl>
      <w:tblPr>
        <w:tblStyle w:val="11"/>
        <w:tblW w:w="9967" w:type="dxa"/>
        <w:tblInd w:w="0" w:type="dxa"/>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8"/>
        <w:gridCol w:w="2495"/>
        <w:gridCol w:w="2139"/>
        <w:gridCol w:w="1604"/>
        <w:gridCol w:w="1603"/>
        <w:gridCol w:w="1418"/>
      </w:tblGrid>
      <w:tr w14:paraId="433B521F">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 w:hRule="atLeast"/>
        </w:trPr>
        <w:tc>
          <w:tcPr>
            <w:tcW w:w="708" w:type="dxa"/>
            <w:tcBorders>
              <w:bottom w:val="single" w:color="000000" w:themeColor="text1" w:sz="4" w:space="0"/>
              <w:insideH w:val="single" w:sz="4" w:space="0"/>
            </w:tcBorders>
            <w:shd w:val="clear" w:color="auto" w:fill="auto"/>
          </w:tcPr>
          <w:p w14:paraId="74BC9E1E">
            <w:pPr>
              <w:spacing w:after="0" w:line="240" w:lineRule="auto"/>
              <w:jc w:val="center"/>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NO</w:t>
            </w:r>
          </w:p>
        </w:tc>
        <w:tc>
          <w:tcPr>
            <w:tcW w:w="2495" w:type="dxa"/>
            <w:tcBorders>
              <w:bottom w:val="single" w:color="000000" w:themeColor="text1" w:sz="4" w:space="0"/>
              <w:insideH w:val="single" w:sz="4" w:space="0"/>
            </w:tcBorders>
            <w:shd w:val="clear" w:color="auto" w:fill="auto"/>
          </w:tcPr>
          <w:p w14:paraId="030AC9AE">
            <w:pPr>
              <w:spacing w:after="0" w:line="240" w:lineRule="auto"/>
              <w:jc w:val="center"/>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KRITERIA PENILAIAN</w:t>
            </w:r>
          </w:p>
        </w:tc>
        <w:tc>
          <w:tcPr>
            <w:tcW w:w="2139" w:type="dxa"/>
            <w:tcBorders>
              <w:bottom w:val="single" w:color="000000" w:themeColor="text1" w:sz="4" w:space="0"/>
              <w:insideH w:val="single" w:sz="4" w:space="0"/>
            </w:tcBorders>
            <w:shd w:val="clear" w:color="auto" w:fill="auto"/>
          </w:tcPr>
          <w:p w14:paraId="4FE7D786">
            <w:pPr>
              <w:spacing w:after="0" w:line="240" w:lineRule="auto"/>
              <w:jc w:val="center"/>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MAKSIMAL SKOR</w:t>
            </w:r>
          </w:p>
        </w:tc>
        <w:tc>
          <w:tcPr>
            <w:tcW w:w="1604" w:type="dxa"/>
            <w:tcBorders>
              <w:bottom w:val="single" w:color="000000" w:themeColor="text1" w:sz="4" w:space="0"/>
              <w:insideH w:val="single" w:sz="4" w:space="0"/>
            </w:tcBorders>
            <w:shd w:val="clear" w:color="auto" w:fill="auto"/>
          </w:tcPr>
          <w:p w14:paraId="0C441C2F">
            <w:pPr>
              <w:spacing w:after="0" w:line="240" w:lineRule="auto"/>
              <w:jc w:val="center"/>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JUMLAH SKOR</w:t>
            </w:r>
          </w:p>
        </w:tc>
        <w:tc>
          <w:tcPr>
            <w:tcW w:w="1603" w:type="dxa"/>
            <w:tcBorders>
              <w:bottom w:val="single" w:color="000000" w:themeColor="text1" w:sz="4" w:space="0"/>
              <w:insideH w:val="single" w:sz="4" w:space="0"/>
            </w:tcBorders>
            <w:shd w:val="clear" w:color="auto" w:fill="auto"/>
          </w:tcPr>
          <w:p w14:paraId="2BF9DBCA">
            <w:pPr>
              <w:spacing w:after="0" w:line="240" w:lineRule="auto"/>
              <w:jc w:val="center"/>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BOBOT (%)</w:t>
            </w:r>
          </w:p>
        </w:tc>
        <w:tc>
          <w:tcPr>
            <w:tcW w:w="1418" w:type="dxa"/>
            <w:tcBorders>
              <w:bottom w:val="single" w:color="000000" w:themeColor="text1" w:sz="4" w:space="0"/>
              <w:insideH w:val="single" w:sz="4" w:space="0"/>
            </w:tcBorders>
            <w:shd w:val="clear" w:color="auto" w:fill="auto"/>
          </w:tcPr>
          <w:p w14:paraId="2B71AE60">
            <w:pPr>
              <w:spacing w:after="0" w:line="240" w:lineRule="auto"/>
              <w:jc w:val="center"/>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NILAI</w:t>
            </w:r>
          </w:p>
        </w:tc>
      </w:tr>
      <w:tr w14:paraId="551439DE">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708" w:type="dxa"/>
            <w:shd w:val="clear" w:color="auto" w:fill="auto"/>
          </w:tcPr>
          <w:p w14:paraId="55CA4068">
            <w:pPr>
              <w:spacing w:after="0" w:line="240" w:lineRule="auto"/>
              <w:jc w:val="center"/>
              <w:rPr>
                <w:rFonts w:ascii="Times New Roman" w:hAnsi="Times New Roman" w:cs="Times New Roman"/>
                <w:b w:val="0"/>
                <w:bCs w:val="0"/>
                <w:i/>
                <w:iCs/>
                <w:color w:val="000000" w:themeColor="text1"/>
                <w:sz w:val="22"/>
                <w:szCs w:val="22"/>
                <w14:textFill>
                  <w14:solidFill>
                    <w14:schemeClr w14:val="tx1"/>
                  </w14:solidFill>
                </w14:textFill>
              </w:rPr>
            </w:pPr>
            <w:r>
              <w:rPr>
                <w:rFonts w:ascii="Times New Roman" w:hAnsi="Times New Roman" w:cs="Times New Roman"/>
                <w:b/>
                <w:bCs/>
                <w:i/>
                <w:iCs/>
                <w:color w:val="000000" w:themeColor="text1"/>
                <w:sz w:val="22"/>
                <w:szCs w:val="22"/>
                <w14:textFill>
                  <w14:solidFill>
                    <w14:schemeClr w14:val="tx1"/>
                  </w14:solidFill>
                </w14:textFill>
              </w:rPr>
              <w:t>1</w:t>
            </w:r>
          </w:p>
        </w:tc>
        <w:tc>
          <w:tcPr>
            <w:tcW w:w="2495" w:type="dxa"/>
            <w:shd w:val="clear" w:color="auto" w:fill="auto"/>
          </w:tcPr>
          <w:p w14:paraId="4B15CB1E">
            <w:pPr>
              <w:spacing w:after="0" w:line="240" w:lineRule="auto"/>
              <w:jc w:val="center"/>
              <w:rPr>
                <w:rFonts w:ascii="Times New Roman" w:hAnsi="Times New Roman" w:cs="Times New Roman"/>
                <w:i/>
                <w:iCs/>
                <w:color w:val="000000" w:themeColor="text1"/>
                <w:sz w:val="22"/>
                <w:szCs w:val="22"/>
                <w14:textFill>
                  <w14:solidFill>
                    <w14:schemeClr w14:val="tx1"/>
                  </w14:solidFill>
                </w14:textFill>
              </w:rPr>
            </w:pPr>
            <w:r>
              <w:rPr>
                <w:rFonts w:ascii="Times New Roman" w:hAnsi="Times New Roman" w:cs="Times New Roman"/>
                <w:i/>
                <w:iCs/>
                <w:color w:val="000000" w:themeColor="text1"/>
                <w:sz w:val="22"/>
                <w:szCs w:val="22"/>
                <w14:textFill>
                  <w14:solidFill>
                    <w14:schemeClr w14:val="tx1"/>
                  </w14:solidFill>
                </w14:textFill>
              </w:rPr>
              <w:t>2</w:t>
            </w:r>
          </w:p>
        </w:tc>
        <w:tc>
          <w:tcPr>
            <w:tcW w:w="2139" w:type="dxa"/>
            <w:shd w:val="clear" w:color="auto" w:fill="auto"/>
          </w:tcPr>
          <w:p w14:paraId="1E1E28F9">
            <w:pPr>
              <w:spacing w:after="0" w:line="240" w:lineRule="auto"/>
              <w:jc w:val="center"/>
              <w:rPr>
                <w:rFonts w:ascii="Times New Roman" w:hAnsi="Times New Roman" w:cs="Times New Roman"/>
                <w:i/>
                <w:iCs/>
                <w:color w:val="000000" w:themeColor="text1"/>
                <w:sz w:val="22"/>
                <w:szCs w:val="22"/>
                <w14:textFill>
                  <w14:solidFill>
                    <w14:schemeClr w14:val="tx1"/>
                  </w14:solidFill>
                </w14:textFill>
              </w:rPr>
            </w:pPr>
            <w:r>
              <w:rPr>
                <w:rFonts w:ascii="Times New Roman" w:hAnsi="Times New Roman" w:cs="Times New Roman"/>
                <w:i/>
                <w:iCs/>
                <w:color w:val="000000" w:themeColor="text1"/>
                <w:sz w:val="22"/>
                <w:szCs w:val="22"/>
                <w14:textFill>
                  <w14:solidFill>
                    <w14:schemeClr w14:val="tx1"/>
                  </w14:solidFill>
                </w14:textFill>
              </w:rPr>
              <w:t>3</w:t>
            </w:r>
          </w:p>
        </w:tc>
        <w:tc>
          <w:tcPr>
            <w:tcW w:w="1604" w:type="dxa"/>
            <w:shd w:val="clear" w:color="auto" w:fill="auto"/>
          </w:tcPr>
          <w:p w14:paraId="0616A197">
            <w:pPr>
              <w:spacing w:after="0" w:line="240" w:lineRule="auto"/>
              <w:jc w:val="center"/>
              <w:rPr>
                <w:rFonts w:ascii="Times New Roman" w:hAnsi="Times New Roman" w:cs="Times New Roman"/>
                <w:i/>
                <w:iCs/>
                <w:color w:val="000000" w:themeColor="text1"/>
                <w:sz w:val="22"/>
                <w:szCs w:val="22"/>
                <w14:textFill>
                  <w14:solidFill>
                    <w14:schemeClr w14:val="tx1"/>
                  </w14:solidFill>
                </w14:textFill>
              </w:rPr>
            </w:pPr>
            <w:r>
              <w:rPr>
                <w:rFonts w:ascii="Times New Roman" w:hAnsi="Times New Roman" w:cs="Times New Roman"/>
                <w:i/>
                <w:iCs/>
                <w:color w:val="000000" w:themeColor="text1"/>
                <w:sz w:val="22"/>
                <w:szCs w:val="22"/>
                <w14:textFill>
                  <w14:solidFill>
                    <w14:schemeClr w14:val="tx1"/>
                  </w14:solidFill>
                </w14:textFill>
              </w:rPr>
              <w:t>4</w:t>
            </w:r>
          </w:p>
        </w:tc>
        <w:tc>
          <w:tcPr>
            <w:tcW w:w="1603" w:type="dxa"/>
            <w:shd w:val="clear" w:color="auto" w:fill="auto"/>
          </w:tcPr>
          <w:p w14:paraId="2D41DC1F">
            <w:pPr>
              <w:spacing w:after="0" w:line="240" w:lineRule="auto"/>
              <w:jc w:val="center"/>
              <w:rPr>
                <w:rFonts w:ascii="Times New Roman" w:hAnsi="Times New Roman" w:cs="Times New Roman"/>
                <w:i/>
                <w:iCs/>
                <w:color w:val="000000" w:themeColor="text1"/>
                <w:sz w:val="22"/>
                <w:szCs w:val="22"/>
                <w14:textFill>
                  <w14:solidFill>
                    <w14:schemeClr w14:val="tx1"/>
                  </w14:solidFill>
                </w14:textFill>
              </w:rPr>
            </w:pPr>
            <w:r>
              <w:rPr>
                <w:rFonts w:ascii="Times New Roman" w:hAnsi="Times New Roman" w:cs="Times New Roman"/>
                <w:i/>
                <w:iCs/>
                <w:color w:val="000000" w:themeColor="text1"/>
                <w:sz w:val="22"/>
                <w:szCs w:val="22"/>
                <w14:textFill>
                  <w14:solidFill>
                    <w14:schemeClr w14:val="tx1"/>
                  </w14:solidFill>
                </w14:textFill>
              </w:rPr>
              <w:t>5</w:t>
            </w:r>
          </w:p>
        </w:tc>
        <w:tc>
          <w:tcPr>
            <w:tcW w:w="1418" w:type="dxa"/>
            <w:shd w:val="clear" w:color="auto" w:fill="auto"/>
          </w:tcPr>
          <w:p w14:paraId="52A668ED">
            <w:pPr>
              <w:spacing w:after="0" w:line="240" w:lineRule="auto"/>
              <w:jc w:val="center"/>
              <w:rPr>
                <w:rFonts w:ascii="Times New Roman" w:hAnsi="Times New Roman" w:cs="Times New Roman"/>
                <w:i/>
                <w:iCs/>
                <w:color w:val="000000" w:themeColor="text1"/>
                <w:sz w:val="22"/>
                <w:szCs w:val="22"/>
                <w14:textFill>
                  <w14:solidFill>
                    <w14:schemeClr w14:val="tx1"/>
                  </w14:solidFill>
                </w14:textFill>
              </w:rPr>
            </w:pPr>
            <w:r>
              <w:rPr>
                <w:rFonts w:ascii="Times New Roman" w:hAnsi="Times New Roman" w:cs="Times New Roman"/>
                <w:i/>
                <w:iCs/>
                <w:color w:val="000000" w:themeColor="text1"/>
                <w:sz w:val="22"/>
                <w:szCs w:val="22"/>
                <w14:textFill>
                  <w14:solidFill>
                    <w14:schemeClr w14:val="tx1"/>
                  </w14:solidFill>
                </w14:textFill>
              </w:rPr>
              <w:t>6</w:t>
            </w:r>
          </w:p>
        </w:tc>
      </w:tr>
      <w:tr w14:paraId="729607A3">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 w:hRule="atLeast"/>
        </w:trPr>
        <w:tc>
          <w:tcPr>
            <w:tcW w:w="708" w:type="dxa"/>
            <w:shd w:val="clear" w:color="auto" w:fill="auto"/>
          </w:tcPr>
          <w:p w14:paraId="03FCD776">
            <w:pPr>
              <w:spacing w:after="0" w:line="240" w:lineRule="auto"/>
              <w:jc w:val="center"/>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I</w:t>
            </w:r>
          </w:p>
        </w:tc>
        <w:tc>
          <w:tcPr>
            <w:tcW w:w="2495" w:type="dxa"/>
            <w:shd w:val="clear" w:color="auto" w:fill="auto"/>
          </w:tcPr>
          <w:p w14:paraId="15E28D3B">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Administrasi dan kelembagaan</w:t>
            </w:r>
          </w:p>
        </w:tc>
        <w:tc>
          <w:tcPr>
            <w:tcW w:w="2139" w:type="dxa"/>
            <w:shd w:val="clear" w:color="auto" w:fill="auto"/>
          </w:tcPr>
          <w:p w14:paraId="2F50CF3A">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12</w:t>
            </w:r>
          </w:p>
        </w:tc>
        <w:tc>
          <w:tcPr>
            <w:tcW w:w="1604" w:type="dxa"/>
            <w:shd w:val="clear" w:color="auto" w:fill="auto"/>
          </w:tcPr>
          <w:p w14:paraId="4A2A9FCA">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1603" w:type="dxa"/>
            <w:shd w:val="clear" w:color="auto" w:fill="auto"/>
          </w:tcPr>
          <w:p w14:paraId="6040D94E">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20</w:t>
            </w:r>
          </w:p>
        </w:tc>
        <w:tc>
          <w:tcPr>
            <w:tcW w:w="1418" w:type="dxa"/>
            <w:shd w:val="clear" w:color="auto" w:fill="auto"/>
          </w:tcPr>
          <w:p w14:paraId="32DD65C5">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r>
      <w:tr w14:paraId="61741811">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708" w:type="dxa"/>
            <w:shd w:val="clear" w:color="auto" w:fill="auto"/>
          </w:tcPr>
          <w:p w14:paraId="00AFE697">
            <w:pPr>
              <w:spacing w:after="0" w:line="240" w:lineRule="auto"/>
              <w:jc w:val="center"/>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II</w:t>
            </w:r>
          </w:p>
        </w:tc>
        <w:tc>
          <w:tcPr>
            <w:tcW w:w="2495" w:type="dxa"/>
            <w:shd w:val="clear" w:color="auto" w:fill="auto"/>
          </w:tcPr>
          <w:p w14:paraId="772DD165">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Aktivitas kelompok</w:t>
            </w:r>
          </w:p>
        </w:tc>
        <w:tc>
          <w:tcPr>
            <w:tcW w:w="2139" w:type="dxa"/>
            <w:shd w:val="clear" w:color="auto" w:fill="auto"/>
          </w:tcPr>
          <w:p w14:paraId="33C705C8">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18</w:t>
            </w:r>
          </w:p>
        </w:tc>
        <w:tc>
          <w:tcPr>
            <w:tcW w:w="1604" w:type="dxa"/>
            <w:shd w:val="clear" w:color="auto" w:fill="auto"/>
          </w:tcPr>
          <w:p w14:paraId="753592DC">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1603" w:type="dxa"/>
            <w:shd w:val="clear" w:color="auto" w:fill="auto"/>
          </w:tcPr>
          <w:p w14:paraId="234FED85">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60</w:t>
            </w:r>
          </w:p>
        </w:tc>
        <w:tc>
          <w:tcPr>
            <w:tcW w:w="1418" w:type="dxa"/>
            <w:shd w:val="clear" w:color="auto" w:fill="auto"/>
          </w:tcPr>
          <w:p w14:paraId="4C57DADC">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r>
      <w:tr w14:paraId="37B5B790">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708" w:type="dxa"/>
            <w:shd w:val="clear" w:color="auto" w:fill="auto"/>
          </w:tcPr>
          <w:p w14:paraId="3DCC1E77">
            <w:pPr>
              <w:spacing w:after="0" w:line="240" w:lineRule="auto"/>
              <w:jc w:val="center"/>
              <w:rPr>
                <w:rFonts w:ascii="Times New Roman" w:hAnsi="Times New Roman" w:cs="Times New Roman"/>
                <w:b w:val="0"/>
                <w:bCs w:val="0"/>
                <w:color w:val="000000" w:themeColor="text1"/>
                <w:sz w:val="22"/>
                <w:szCs w:val="22"/>
                <w14:textFill>
                  <w14:solidFill>
                    <w14:schemeClr w14:val="tx1"/>
                  </w14:solidFill>
                </w14:textFill>
              </w:rPr>
            </w:pPr>
            <w:r>
              <w:rPr>
                <w:rFonts w:ascii="Times New Roman" w:hAnsi="Times New Roman" w:cs="Times New Roman"/>
                <w:b/>
                <w:bCs/>
                <w:color w:val="000000" w:themeColor="text1"/>
                <w:sz w:val="22"/>
                <w:szCs w:val="22"/>
                <w14:textFill>
                  <w14:solidFill>
                    <w14:schemeClr w14:val="tx1"/>
                  </w14:solidFill>
                </w14:textFill>
              </w:rPr>
              <w:t>III</w:t>
            </w:r>
          </w:p>
        </w:tc>
        <w:tc>
          <w:tcPr>
            <w:tcW w:w="2495" w:type="dxa"/>
            <w:shd w:val="clear" w:color="auto" w:fill="auto"/>
          </w:tcPr>
          <w:p w14:paraId="5AB99059">
            <w:pPr>
              <w:spacing w:after="0" w:line="240" w:lineRule="auto"/>
              <w:jc w:val="both"/>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Pelaporan</w:t>
            </w:r>
          </w:p>
        </w:tc>
        <w:tc>
          <w:tcPr>
            <w:tcW w:w="2139" w:type="dxa"/>
            <w:shd w:val="clear" w:color="auto" w:fill="auto"/>
          </w:tcPr>
          <w:p w14:paraId="1BE38D5C">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6</w:t>
            </w:r>
          </w:p>
        </w:tc>
        <w:tc>
          <w:tcPr>
            <w:tcW w:w="1604" w:type="dxa"/>
            <w:shd w:val="clear" w:color="auto" w:fill="auto"/>
          </w:tcPr>
          <w:p w14:paraId="03B2D2E6">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1603" w:type="dxa"/>
            <w:shd w:val="clear" w:color="auto" w:fill="auto"/>
          </w:tcPr>
          <w:p w14:paraId="7E51782D">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20</w:t>
            </w:r>
          </w:p>
        </w:tc>
        <w:tc>
          <w:tcPr>
            <w:tcW w:w="1418" w:type="dxa"/>
            <w:shd w:val="clear" w:color="auto" w:fill="auto"/>
          </w:tcPr>
          <w:p w14:paraId="167C4026">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r>
      <w:tr w14:paraId="6F39C1FB">
        <w:tblPrEx>
          <w:tblBorders>
            <w:top w:val="single" w:color="000000" w:themeColor="text1" w:sz="4" w:space="0"/>
            <w:left w:val="none" w:color="auto" w:sz="0" w:space="0"/>
            <w:bottom w:val="single" w:color="000000" w:themeColor="text1"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 w:hRule="atLeast"/>
        </w:trPr>
        <w:tc>
          <w:tcPr>
            <w:tcW w:w="708" w:type="dxa"/>
            <w:shd w:val="clear" w:color="auto" w:fill="auto"/>
          </w:tcPr>
          <w:p w14:paraId="514FED46">
            <w:pPr>
              <w:spacing w:after="0" w:line="240" w:lineRule="auto"/>
              <w:jc w:val="both"/>
              <w:rPr>
                <w:rFonts w:ascii="Times New Roman" w:hAnsi="Times New Roman" w:cs="Times New Roman"/>
                <w:b w:val="0"/>
                <w:bCs w:val="0"/>
                <w:color w:val="000000" w:themeColor="text1"/>
                <w:sz w:val="22"/>
                <w:szCs w:val="22"/>
                <w14:textFill>
                  <w14:solidFill>
                    <w14:schemeClr w14:val="tx1"/>
                  </w14:solidFill>
                </w14:textFill>
              </w:rPr>
            </w:pPr>
          </w:p>
        </w:tc>
        <w:tc>
          <w:tcPr>
            <w:tcW w:w="2495" w:type="dxa"/>
            <w:shd w:val="clear" w:color="auto" w:fill="auto"/>
          </w:tcPr>
          <w:p w14:paraId="024E67BB">
            <w:pPr>
              <w:spacing w:after="0" w:line="240" w:lineRule="auto"/>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Total nilai :</w:t>
            </w:r>
          </w:p>
        </w:tc>
        <w:tc>
          <w:tcPr>
            <w:tcW w:w="2139" w:type="dxa"/>
            <w:shd w:val="clear" w:color="auto" w:fill="auto"/>
          </w:tcPr>
          <w:p w14:paraId="14EE277C">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36</w:t>
            </w:r>
          </w:p>
        </w:tc>
        <w:tc>
          <w:tcPr>
            <w:tcW w:w="1604" w:type="dxa"/>
            <w:shd w:val="clear" w:color="auto" w:fill="auto"/>
          </w:tcPr>
          <w:p w14:paraId="0F6D7C85">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c>
          <w:tcPr>
            <w:tcW w:w="1603" w:type="dxa"/>
            <w:shd w:val="clear" w:color="auto" w:fill="auto"/>
          </w:tcPr>
          <w:p w14:paraId="764EB4D5">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r>
              <w:rPr>
                <w:rFonts w:ascii="Times New Roman" w:hAnsi="Times New Roman" w:cs="Times New Roman"/>
                <w:color w:val="000000" w:themeColor="text1"/>
                <w:sz w:val="22"/>
                <w:szCs w:val="22"/>
                <w14:textFill>
                  <w14:solidFill>
                    <w14:schemeClr w14:val="tx1"/>
                  </w14:solidFill>
                </w14:textFill>
              </w:rPr>
              <w:t>100</w:t>
            </w:r>
          </w:p>
        </w:tc>
        <w:tc>
          <w:tcPr>
            <w:tcW w:w="1418" w:type="dxa"/>
            <w:shd w:val="clear" w:color="auto" w:fill="auto"/>
          </w:tcPr>
          <w:p w14:paraId="447C4A43">
            <w:pPr>
              <w:spacing w:after="0" w:line="240" w:lineRule="auto"/>
              <w:jc w:val="center"/>
              <w:rPr>
                <w:rFonts w:ascii="Times New Roman" w:hAnsi="Times New Roman" w:cs="Times New Roman"/>
                <w:color w:val="000000" w:themeColor="text1"/>
                <w:sz w:val="22"/>
                <w:szCs w:val="22"/>
                <w14:textFill>
                  <w14:solidFill>
                    <w14:schemeClr w14:val="tx1"/>
                  </w14:solidFill>
                </w14:textFill>
              </w:rPr>
            </w:pPr>
          </w:p>
        </w:tc>
      </w:tr>
    </w:tbl>
    <w:p w14:paraId="15D3ABA1">
      <w:pPr>
        <w:spacing w:after="0" w:line="240" w:lineRule="auto"/>
        <w:jc w:val="both"/>
        <w:rPr>
          <w:rFonts w:ascii="Times New Roman" w:hAnsi="Times New Roman" w:cs="Times New Roman"/>
        </w:rPr>
      </w:pPr>
      <w:r>
        <w:rPr>
          <w:rFonts w:ascii="Times New Roman" w:hAnsi="Times New Roman" w:cs="Times New Roman"/>
        </w:rPr>
        <w:t>Rumus Menghitung Nilai:</w:t>
      </w:r>
    </w:p>
    <w:p w14:paraId="746BF343">
      <w:pPr>
        <w:spacing w:after="0" w:line="240" w:lineRule="auto"/>
        <w:ind w:left="2552"/>
        <w:jc w:val="both"/>
        <w:rPr>
          <w:rFonts w:ascii="Times New Roman" w:hAnsi="Times New Roman" w:cs="Times New Roman"/>
        </w:rPr>
      </w:pPr>
      <w:bookmarkStart w:id="0" w:name="_Hlk170371727"/>
      <w:r>
        <w:rPr>
          <w:rFonts w:ascii="Times New Roman" w:hAnsi="Times New Roman" w:cs="Times New Roman"/>
          <w:u w:val="single"/>
        </w:rPr>
        <w:t>Jumlah Skor X Bobot (%)</w:t>
      </w:r>
      <w:r>
        <w:rPr>
          <w:rFonts w:ascii="Times New Roman" w:hAnsi="Times New Roman" w:cs="Times New Roman"/>
        </w:rPr>
        <w:t xml:space="preserve"> = Nilai </w:t>
      </w:r>
    </w:p>
    <w:p w14:paraId="5D135D98">
      <w:pPr>
        <w:spacing w:line="480" w:lineRule="auto"/>
        <w:ind w:left="2552"/>
        <w:jc w:val="both"/>
        <w:rPr>
          <w:rFonts w:ascii="Times New Roman" w:hAnsi="Times New Roman" w:cs="Times New Roman"/>
        </w:rPr>
      </w:pPr>
      <w:r>
        <w:rPr>
          <w:rFonts w:ascii="Times New Roman" w:hAnsi="Times New Roman" w:cs="Times New Roman"/>
        </w:rPr>
        <w:tab/>
      </w:r>
      <w:r>
        <w:rPr>
          <w:rFonts w:ascii="Times New Roman" w:hAnsi="Times New Roman" w:cs="Times New Roman"/>
        </w:rPr>
        <w:t>Maksimal Skor</w:t>
      </w:r>
      <w:bookmarkEnd w:id="0"/>
    </w:p>
    <w:p w14:paraId="6955B8AD">
      <w:pPr>
        <w:spacing w:after="0" w:line="480" w:lineRule="auto"/>
        <w:ind w:left="567" w:hanging="567"/>
        <w:rPr>
          <w:rFonts w:ascii="Times New Roman" w:hAnsi="Times New Roman" w:cs="Times New Roman"/>
        </w:rPr>
        <w:sectPr>
          <w:type w:val="continuous"/>
          <w:pgSz w:w="11906" w:h="16838"/>
          <w:pgMar w:top="1440" w:right="1440" w:bottom="1440" w:left="1440" w:header="708" w:footer="708" w:gutter="0"/>
          <w:cols w:space="708" w:num="1"/>
          <w:docGrid w:linePitch="360" w:charSpace="0"/>
        </w:sectPr>
      </w:pPr>
    </w:p>
    <w:p w14:paraId="4AFA71ED">
      <w:pPr>
        <w:spacing w:after="0" w:line="480" w:lineRule="auto"/>
        <w:rPr>
          <w:rFonts w:ascii="Times New Roman" w:hAnsi="Times New Roman" w:cs="Times New Roman"/>
          <w:i/>
          <w:iCs/>
        </w:rPr>
      </w:pPr>
      <w:r>
        <w:rPr>
          <w:rFonts w:ascii="Times New Roman" w:hAnsi="Times New Roman" w:cs="Times New Roman"/>
          <w:i/>
          <w:iCs/>
        </w:rPr>
        <w:t>Analisis Data</w:t>
      </w:r>
    </w:p>
    <w:p w14:paraId="04F1658C">
      <w:pPr>
        <w:spacing w:line="240" w:lineRule="auto"/>
        <w:ind w:firstLine="567"/>
        <w:jc w:val="both"/>
        <w:rPr>
          <w:rFonts w:ascii="Times New Roman" w:hAnsi="Times New Roman" w:cs="Times New Roman"/>
        </w:rPr>
      </w:pPr>
      <w:r>
        <w:rPr>
          <w:rFonts w:ascii="Times New Roman" w:hAnsi="Times New Roman" w:cs="Times New Roman"/>
          <w:lang w:val="sv-SE"/>
        </w:rPr>
        <w:t>Penelitian ini menggunakan pendekatan metode kuantitatif. Menurut Sugiyono (2018) metode kuantitatif merupakan metode yang data penelitiannya berupa angka-angka dan dianalisis menggunakan statistik. Metode kuantitatif digunakan untuk menjawab tujuan pertama. Setelah mendapatkan data administrasi kelembagaan, aktivitas kelompok dan pelaporan kelembagaan dari responden, selanjutnya data tersebut dianalisis menggunakan Skala Likert. Skala likert digunakan untuk mengukur sikap, pendapat, dan persepsi seseorang atau sekelompok orang tentang fenomena sosial (Sugiyono, 2018). Penggunaan skala likert pada penelitian ini untuk mengukur hasil data wawancara terkait administrasi, aktivitas dan pelaporan kelembagaan LPHD</w:t>
      </w:r>
      <w:r>
        <w:rPr>
          <w:rFonts w:ascii="Times New Roman" w:hAnsi="Times New Roman" w:cs="Times New Roman"/>
        </w:rPr>
        <w:t>. S</w:t>
      </w:r>
      <w:r>
        <w:rPr>
          <w:rFonts w:ascii="Times New Roman" w:hAnsi="Times New Roman" w:cs="Times New Roman"/>
          <w:lang w:val="sv-SE"/>
        </w:rPr>
        <w:t>kor interval</w:t>
      </w:r>
      <w:r>
        <w:rPr>
          <w:rFonts w:ascii="Times New Roman" w:hAnsi="Times New Roman" w:cs="Times New Roman"/>
        </w:rPr>
        <w:t xml:space="preserve"> yang digunakan untuk </w:t>
      </w:r>
      <w:r>
        <w:rPr>
          <w:rFonts w:ascii="Times New Roman" w:hAnsi="Times New Roman" w:cs="Times New Roman"/>
          <w:lang w:val="sv-SE"/>
        </w:rPr>
        <w:t>menentukan kelas kerja Hutan Desa dengan kategori sangat bagus memiliki skor interval 80 sampai 100, kategori kinerja bagus dengan skor 60 sampai 80, kategori kelas kinerja cukup memiliki skore interval 40 sampai 60 sedangkan kategori kelas kinerja kurang memiliki skor kinerja interval 0 sampai 40</w:t>
      </w:r>
      <w:r>
        <w:rPr>
          <w:rFonts w:ascii="Times New Roman" w:hAnsi="Times New Roman" w:cs="Times New Roman"/>
          <w:sz w:val="24"/>
          <w:szCs w:val="24"/>
        </w:rPr>
        <w:t xml:space="preserve"> </w:t>
      </w:r>
      <w:sdt>
        <w:sdtPr>
          <w:rPr>
            <w:rFonts w:ascii="Times New Roman" w:hAnsi="Times New Roman" w:cs="Times New Roman"/>
            <w:sz w:val="24"/>
            <w:szCs w:val="24"/>
          </w:rPr>
          <w:id w:val="-946841419"/>
        </w:sdtPr>
        <w:sdtEndPr>
          <w:rPr>
            <w:rFonts w:ascii="Times New Roman" w:hAnsi="Times New Roman" w:cs="Times New Roman"/>
            <w:sz w:val="24"/>
            <w:szCs w:val="24"/>
          </w:r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Boy21 \l 1057 </w:instrText>
          </w:r>
          <w:r>
            <w:rPr>
              <w:rFonts w:ascii="Times New Roman" w:hAnsi="Times New Roman" w:cs="Times New Roman"/>
              <w:sz w:val="24"/>
              <w:szCs w:val="24"/>
            </w:rPr>
            <w:fldChar w:fldCharType="separate"/>
          </w:r>
          <w:r>
            <w:rPr>
              <w:rFonts w:ascii="Times New Roman" w:hAnsi="Times New Roman" w:cs="Times New Roman"/>
              <w:sz w:val="24"/>
              <w:szCs w:val="24"/>
            </w:rPr>
            <w:t>(Boyke Wijaya, 2021)</w:t>
          </w:r>
          <w:r>
            <w:rPr>
              <w:rFonts w:ascii="Times New Roman" w:hAnsi="Times New Roman" w:cs="Times New Roman"/>
              <w:sz w:val="24"/>
              <w:szCs w:val="24"/>
            </w:rPr>
            <w:fldChar w:fldCharType="end"/>
          </w:r>
        </w:sdtContent>
      </w:sdt>
      <w:r>
        <w:rPr>
          <w:rFonts w:ascii="Times New Roman" w:hAnsi="Times New Roman" w:cs="Times New Roman"/>
          <w:sz w:val="24"/>
          <w:szCs w:val="24"/>
        </w:rPr>
        <w:t>.</w:t>
      </w:r>
      <w:r>
        <w:rPr>
          <w:rFonts w:ascii="Times New Roman" w:hAnsi="Times New Roman" w:cs="Times New Roman"/>
        </w:rPr>
        <w:t xml:space="preserve"> </w:t>
      </w:r>
    </w:p>
    <w:p w14:paraId="360234E1">
      <w:pPr>
        <w:spacing w:line="240" w:lineRule="auto"/>
        <w:jc w:val="both"/>
        <w:rPr>
          <w:rFonts w:ascii="Times New Roman" w:hAnsi="Times New Roman" w:cs="Times New Roman"/>
          <w:b/>
          <w:iCs/>
          <w:sz w:val="24"/>
          <w:szCs w:val="24"/>
        </w:rPr>
        <w:sectPr>
          <w:type w:val="continuous"/>
          <w:pgSz w:w="11906" w:h="16838"/>
          <w:pgMar w:top="1440" w:right="1440" w:bottom="1440" w:left="1440" w:header="708" w:footer="708" w:gutter="0"/>
          <w:cols w:space="708" w:num="2"/>
          <w:docGrid w:linePitch="360" w:charSpace="0"/>
        </w:sectPr>
      </w:pPr>
    </w:p>
    <w:p w14:paraId="0127FCB5">
      <w:pPr>
        <w:spacing w:before="240" w:line="240" w:lineRule="auto"/>
        <w:jc w:val="both"/>
        <w:rPr>
          <w:rFonts w:ascii="Times New Roman" w:hAnsi="Times New Roman" w:cs="Times New Roman"/>
          <w:b/>
          <w:iCs/>
          <w:sz w:val="24"/>
          <w:szCs w:val="24"/>
        </w:rPr>
      </w:pPr>
      <w:r>
        <w:rPr>
          <w:rFonts w:ascii="Times New Roman" w:hAnsi="Times New Roman" w:cs="Times New Roman"/>
          <w:b/>
          <w:iCs/>
          <w:sz w:val="24"/>
          <w:szCs w:val="24"/>
        </w:rPr>
        <w:t>HASIL DAN PEMBAHASAN</w:t>
      </w:r>
    </w:p>
    <w:p w14:paraId="59F97776">
      <w:pPr>
        <w:spacing w:line="240" w:lineRule="auto"/>
        <w:ind w:left="567" w:hanging="567"/>
        <w:rPr>
          <w:rFonts w:ascii="Times New Roman" w:hAnsi="Times New Roman" w:cs="Times New Roman"/>
          <w:b/>
          <w:bCs/>
          <w:lang w:val="sv-SE"/>
        </w:rPr>
      </w:pPr>
      <w:r>
        <w:rPr>
          <w:rFonts w:ascii="Times New Roman" w:hAnsi="Times New Roman" w:cs="Times New Roman"/>
          <w:b/>
          <w:bCs/>
          <w:lang w:val="sv-SE"/>
        </w:rPr>
        <w:t xml:space="preserve">Kinerja Kelembagaan </w:t>
      </w:r>
    </w:p>
    <w:p w14:paraId="5268CBB9">
      <w:pPr>
        <w:spacing w:after="0" w:line="240" w:lineRule="auto"/>
        <w:ind w:firstLine="567"/>
        <w:jc w:val="both"/>
        <w:rPr>
          <w:rFonts w:ascii="Times New Roman" w:hAnsi="Times New Roman" w:cs="Times New Roman"/>
          <w:lang w:val="sv-SE"/>
        </w:rPr>
      </w:pPr>
      <w:r>
        <w:rPr>
          <w:rFonts w:ascii="Times New Roman" w:hAnsi="Times New Roman" w:cs="Times New Roman"/>
          <w:lang w:val="sv-SE"/>
        </w:rPr>
        <w:t xml:space="preserve">Kelembagaan disebut juga sebagai suatu tatanan dan pola hubungan antar anggota masyarakat atau organisasi yang saling mengikat yang dapat menentukan bentuk hubungan antar manusia atau antar organisasi yang diwadahi dalam suatu organisasi atau jaringan yang ditentukan oleh faktor-faktor pembatas dan pengikat beberapa norma, kode etik, aturan formal maupun informal untuk mengendalikan perilaku sosial serta insentif untuk bekerja sama dan mencapai tujuan Bersama (Fauzi., 2012). </w:t>
      </w:r>
    </w:p>
    <w:p w14:paraId="3CBF0576">
      <w:pPr>
        <w:spacing w:after="0" w:line="240" w:lineRule="auto"/>
        <w:ind w:firstLine="567"/>
        <w:jc w:val="both"/>
        <w:rPr>
          <w:rFonts w:ascii="Times New Roman" w:hAnsi="Times New Roman" w:cs="Times New Roman"/>
          <w:lang w:val="sv-SE"/>
        </w:rPr>
      </w:pPr>
    </w:p>
    <w:p w14:paraId="195C5A97">
      <w:pPr>
        <w:spacing w:after="0" w:line="240" w:lineRule="auto"/>
        <w:jc w:val="center"/>
        <w:rPr>
          <w:rFonts w:ascii="Times New Roman" w:hAnsi="Times New Roman" w:cs="Times New Roman"/>
          <w:lang w:val="sv-SE"/>
        </w:rPr>
      </w:pPr>
      <w:r>
        <w:drawing>
          <wp:inline distT="0" distB="0" distL="0" distR="0">
            <wp:extent cx="2715895" cy="2115185"/>
            <wp:effectExtent l="0" t="0" r="8255" b="18415"/>
            <wp:docPr id="650314420" name="Baga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70C194B">
      <w:pPr>
        <w:spacing w:after="0" w:line="360" w:lineRule="auto"/>
        <w:ind w:firstLine="567"/>
        <w:jc w:val="center"/>
        <w:rPr>
          <w:rFonts w:ascii="Times New Roman" w:hAnsi="Times New Roman" w:cs="Times New Roman"/>
          <w:lang w:val="sv-SE"/>
        </w:rPr>
      </w:pPr>
      <w:r>
        <w:rPr>
          <w:rFonts w:ascii="Times New Roman" w:hAnsi="Times New Roman" w:cs="Times New Roman"/>
          <w:lang w:val="sv-SE"/>
        </w:rPr>
        <w:t>Gambar 2. Kriteria Penilaian</w:t>
      </w:r>
    </w:p>
    <w:p w14:paraId="7632FBD4">
      <w:pPr>
        <w:spacing w:line="240" w:lineRule="auto"/>
        <w:ind w:firstLine="720"/>
        <w:jc w:val="both"/>
        <w:rPr>
          <w:rFonts w:ascii="Times New Roman" w:hAnsi="Times New Roman" w:cs="Times New Roman"/>
        </w:rPr>
      </w:pPr>
      <w:r>
        <w:rPr>
          <w:rFonts w:ascii="Times New Roman" w:hAnsi="Times New Roman" w:cs="Times New Roman"/>
        </w:rPr>
        <w:t xml:space="preserve">Kinerja kelembgaan Hutan Desa Mesale memiliki keaktifan kelembagaan pada bagian aktivitas kelompok. </w:t>
      </w:r>
      <w:r>
        <w:rPr>
          <w:rFonts w:ascii="Times New Roman" w:hAnsi="Times New Roman" w:cs="Times New Roman"/>
          <w:lang w:val="sv-SE"/>
        </w:rPr>
        <w:t xml:space="preserve">Hasil olah data pada kriteria ini berdasarkan dari hasil wawancara terhadap semua responden. Untuk pertanyaan terkait aktivitas kelompok, semua responden memberikan jawaban yang berbeda-beda sehingga memperoleh presentase sejumlah </w:t>
      </w:r>
      <w:r>
        <w:rPr>
          <w:rFonts w:ascii="Times New Roman" w:hAnsi="Times New Roman" w:cs="Times New Roman"/>
        </w:rPr>
        <w:t>46,50</w:t>
      </w:r>
      <w:r>
        <w:rPr>
          <w:rFonts w:ascii="Times New Roman" w:hAnsi="Times New Roman" w:cs="Times New Roman"/>
          <w:lang w:val="sv-SE"/>
        </w:rPr>
        <w:t>%.</w:t>
      </w:r>
      <w:r>
        <w:rPr>
          <w:rFonts w:ascii="Times New Roman" w:hAnsi="Times New Roman" w:cs="Times New Roman"/>
        </w:rPr>
        <w:t xml:space="preserve"> Informasi yang diberikan oleh pendamping dari KPH, Kepala Desa, Pengurus dan anggota LPHD Mesale menyatakan bahwa anggota hanya memahami akan perencanaan pemanfaatan HD dan program rencana kerja. Setiap kegiatan yang sudah tercantum pada rencana kerja LPHD Mesale memerlukan pembinaan dan dorongan dari berbagai pihak terkait pengetahuan administrasi dan pemanfaatan HD. Pengetahuan yang dimaksud adalah pengetahuan berupa tugas dan fungsi maupun perencanaan pemanfaatan HD Mesale karena kriteria ini masih berada pada penilaian kategori cukup (40-60%), LPHD Mesale tergolong cukup aktif dikarenakan pengurus dan anggota hanya memahami bagian aktivitas kelompok dan tidak memperhatikan bagian administrasi dan juga pelaporan. Dibutuhkan sosialisasi dari instansi untuk membuka wawasan LPHD Mesale dalam pengelolaan LPHD agar bertambah pengetahuan tentang pemanfatahan dan pengelolaan HHBK di HD Mesale. </w:t>
      </w:r>
    </w:p>
    <w:p w14:paraId="1CF3ECF4">
      <w:pPr>
        <w:spacing w:line="240" w:lineRule="auto"/>
        <w:jc w:val="both"/>
        <w:rPr>
          <w:rFonts w:ascii="Times New Roman" w:hAnsi="Times New Roman" w:cs="Times New Roman"/>
          <w:i/>
          <w:iCs/>
        </w:rPr>
      </w:pPr>
      <w:r>
        <w:rPr>
          <w:rFonts w:ascii="Times New Roman" w:hAnsi="Times New Roman" w:cs="Times New Roman"/>
          <w:i/>
          <w:iCs/>
        </w:rPr>
        <w:t>Administrasi Kelembagaan</w:t>
      </w:r>
    </w:p>
    <w:p w14:paraId="6E9BED9C">
      <w:pPr>
        <w:spacing w:after="0" w:line="240" w:lineRule="auto"/>
        <w:ind w:firstLine="567"/>
        <w:jc w:val="both"/>
        <w:rPr>
          <w:rFonts w:ascii="Times New Roman" w:hAnsi="Times New Roman" w:cs="Times New Roman"/>
          <w:lang w:val="sv-SE"/>
        </w:rPr>
      </w:pPr>
      <w:r>
        <w:rPr>
          <w:rFonts w:ascii="Times New Roman" w:hAnsi="Times New Roman" w:cs="Times New Roman"/>
        </w:rPr>
        <w:t xml:space="preserve">Hamali, 2019 mengatakan bahwa “Administrasi dalam arti sempit merupakan penyusunan dan pencatatan data dan informasi secara sistematis dengan maksud untuk menyediakan keterangan serta memudahkan dalam  memperolehnya kembali secara keseluruhan dan dalam hubungannya satu sama lain”. </w:t>
      </w:r>
      <w:r>
        <w:rPr>
          <w:rFonts w:ascii="Times New Roman" w:hAnsi="Times New Roman" w:cs="Times New Roman"/>
          <w:lang w:val="sv-SE"/>
        </w:rPr>
        <w:t>Berdasarkan hasil wawancara responden diketahui bahwa LPHD Mesale telah memiliki organisasi dan susunan pengurus. Hal ini memang  cukup beralasan karena salah satu  persyaratan pengusulan Persetujuan Pengelolaan Hutan Desa adalah dengan  melampirkan susunan pengurus LPHD sesuai  dengan Pasal 19 Permen Lingkungan Hidup dan Kehutanan No 83/2016 yang menyebutkan bahwa permohonan PPHD harus diajukan oleh kelompok masyarakat, gabungan kelompok masyarakat, atau koperasi yang dilampirkan susunan pengurus</w:t>
      </w:r>
      <w:r>
        <w:rPr>
          <w:rFonts w:ascii="Times New Roman" w:hAnsi="Times New Roman" w:cs="Times New Roman"/>
          <w:sz w:val="24"/>
          <w:szCs w:val="24"/>
          <w:lang w:val="sv-SE"/>
        </w:rPr>
        <w:t xml:space="preserve">. </w:t>
      </w:r>
      <w:r>
        <w:rPr>
          <w:rFonts w:ascii="Times New Roman" w:hAnsi="Times New Roman" w:cs="Times New Roman"/>
          <w:lang w:val="sv-SE"/>
        </w:rPr>
        <w:t>Perlu diingat bahwa semua yang mengintervensi usaha tani tersebut pada dasarnya adalah lembaga.</w:t>
      </w:r>
    </w:p>
    <w:p w14:paraId="03B9C0D6">
      <w:pPr>
        <w:spacing w:after="0" w:line="240" w:lineRule="auto"/>
        <w:ind w:firstLine="567"/>
        <w:jc w:val="both"/>
        <w:rPr>
          <w:rFonts w:ascii="Times New Roman" w:hAnsi="Times New Roman" w:cs="Times New Roman"/>
          <w:lang w:val="sv-SE"/>
        </w:rPr>
      </w:pPr>
      <w:r>
        <w:rPr>
          <w:rFonts w:ascii="Times New Roman" w:hAnsi="Times New Roman" w:cs="Times New Roman"/>
        </w:rPr>
        <w:t>Kelembagaan LPHD (Lembaga Pengelola Hutan Desa) memberikan berbagai manfaat signifikan bagi desa, terutama dalam pengelolaan sumber daya alam yang berkelanjutan. LPHD membantu pemberdayaan ekonomi masyarakat desa melalui pemanfaatan hasil hutan secara produktif, seperti ekowisata atau hasil hutan non-kayu, yang dapat meningkatkan pendapatan dan kesejahteraan. Selain itu, kelembagaan ini juga berperan dalam pelestarian lingkungan, mengurangi kerusakan hutan, serta mendorong partisipasi masyarakat dalam pengambilan keputusan terkait pengelolaan hutan. Dengan melibatkan masyarakat secara langsung, LPHD memperkuat identitas budaya, menyelesaikan potensi konflik, dan meningkatkan keamanan hutan dari kegiatan ilegal, menjadikannya sebagai model pengelolaan hutan yang ramah lingkungan dan berkelanjutan.</w:t>
      </w:r>
      <w:r>
        <w:rPr>
          <w:rFonts w:ascii="Times New Roman" w:hAnsi="Times New Roman" w:cs="Times New Roman"/>
          <w:lang w:val="sv-SE"/>
        </w:rPr>
        <w:t xml:space="preserve"> </w:t>
      </w:r>
    </w:p>
    <w:p w14:paraId="54D606B6">
      <w:pPr>
        <w:spacing w:after="0" w:line="240" w:lineRule="auto"/>
        <w:ind w:firstLine="567"/>
        <w:jc w:val="both"/>
        <w:rPr>
          <w:rFonts w:ascii="Times New Roman" w:hAnsi="Times New Roman" w:cs="Times New Roman"/>
          <w:lang w:val="sv-SE"/>
        </w:rPr>
      </w:pPr>
      <w:r>
        <w:rPr>
          <w:rFonts w:ascii="Times New Roman" w:hAnsi="Times New Roman" w:cs="Times New Roman"/>
          <w:lang w:val="sv-SE"/>
        </w:rPr>
        <w:t>Pembagian tugas yang jelas merupakan faktor yang sangat penting dalam sebuah organisasi. Setiap organisasi atau kelompok yang terbentuk harus memiliki struktur kelompok yang jelas, agar terdapat pembagian tugas yang jelas dalam pelaksanaan kegiatannya (Makawekes et al, 2016). Sementara itu menurut (Tuyuwale dalam Makawekes,N., 2016) salah satu faktor yang sangat mempengaruhi dinamika kelompok adalah tidak adanya efektivitas  dalam menjalankan fungsi tugas dalam mencapai tujuan. Hal ini juga dikemukan oleh penelitian yenny (2022) bahwa semakin dinamis kelompok akan berpengaruh pada tingkat kapasitas kelembagaan kelompok. Pembagian tugas mutlak dilakukan dalam organisasi agar tidak terjadi tumpang tindih dalam pelaksanaan pekerjaan. Setiap anggota harus bertanggung jawab terhadap setiap pelaksanaan tugasnya sesuai tupoksi yang dimiliki.</w:t>
      </w:r>
    </w:p>
    <w:p w14:paraId="74543012">
      <w:pPr>
        <w:spacing w:after="0" w:line="240" w:lineRule="auto"/>
        <w:ind w:firstLine="567"/>
        <w:jc w:val="both"/>
        <w:rPr>
          <w:rFonts w:ascii="Times New Roman" w:hAnsi="Times New Roman" w:cs="Times New Roman"/>
        </w:rPr>
      </w:pPr>
      <w:r>
        <w:rPr>
          <w:rFonts w:ascii="Times New Roman" w:hAnsi="Times New Roman" w:cs="Times New Roman"/>
          <w:lang w:val="sv-SE"/>
        </w:rPr>
        <w:t xml:space="preserve">Menurut Ordway Tead dalam (Hamali, 2019) mengatakan bahwa “Pengertian administrasi adalah kegiatan-kegiatan individu (eksekutif) dalam suatu organisasi yang bertugas mengatur, memajukan, dan menyediakan fasilitas usaha kerja sama sekelompok individu untuk merealisasikan tujuan yang ditentukan. Pada penelitian ini, penilaian aspek catatan administrasi dikatakan lengkap apabila memiliki 4 dari 4 unsur catatan administrasi yaitu buku kas, buku daftar anggota, buku tamu dan buku inventaris. Hasil wawancara responden administrasi LPHD Mesale masih tergolong kurang dikarenakan dari keempat aspek penilaian administrasi yang dijalankan sampai saat ini hanya buku kunjungan tamu yang dijalankan. </w:t>
      </w:r>
      <w:r>
        <w:rPr>
          <w:rFonts w:ascii="Times New Roman" w:hAnsi="Times New Roman" w:cs="Times New Roman"/>
        </w:rPr>
        <w:t>Kurangnya pemahaman (LPHD) dalam menjalankan administrasi kelembagaan dapat menghambat efektivitas operasional lembaga tersebut. Administrasi kelembagaan yang tidak terkelola dengan baik akan menyebabkan terjadinya ketidakjelasan dalam pembagian tugas dan tanggung jawab antar pengurus, serta kesulitan dalam pengelolaan sumber daya dan pengawasan kinerja. Tanpa pemahaman yang mendalam mengenai struktur organisasi, prosedur administrasi, dan sistem pelaporan yang jelas, proses pengambilan keputusan dalam LPHD menjadi terhambat dan tidak efisien. Hal ini juga dapat menimbulkan masalah dalam hal transparansi, akuntabilitas, serta pengelolaan dana yang dapat merugikan lembaga itu sendiri dan masyarakat yang diharapkan mendapatkan manfaat dari program-program yang dijalankan. Oleh karena itu, pemahaman yang baik tentang tata kelola administrasi kelembagaan sangat penting untuk menciptakan LPHD yang profesional, transparan, dan efektif dalam melaksanakan tugasnya.</w:t>
      </w:r>
    </w:p>
    <w:p w14:paraId="7E115098">
      <w:pPr>
        <w:spacing w:after="0" w:line="240" w:lineRule="auto"/>
        <w:ind w:firstLine="567"/>
        <w:jc w:val="both"/>
        <w:rPr>
          <w:rFonts w:ascii="Times New Roman" w:hAnsi="Times New Roman" w:cs="Times New Roman"/>
        </w:rPr>
      </w:pPr>
      <w:r>
        <w:rPr>
          <w:rFonts w:ascii="Times New Roman" w:hAnsi="Times New Roman" w:cs="Times New Roman"/>
        </w:rPr>
        <w:t>Menurut hasil wawancara terhadap para responden pada kawasan LPHD (Lembaga Pengelola Hutan Desa), tidak terdapat norma atau aturan yang tertulis yang mengatur tentang pengelolaan kawasan dan perlindungan terhadap lingkungan sekitarnya. Akan tetapi, perlindungan tersebut hanya diberi penekanan melalui papan nama peringatan yang dipasang di pintu masuk kawasan. Papan tersebut berfungsi sebagai pemberitahuan kepada masyarakat agar lebih berhati-hati dan mematuhi aturan yang ada, meskipun tidak ada pengawasan atau penegakan hukum yang lebih ketat di lapangan. Hal ini menunjukkan adanya perhatian terhadap kelestarian kawasan, namun dengan keterbatasan dalam penerapan norma secara lebih menyeluruh. Perlindungan terhadap kawasan tersebut umumnya hanya diberlakukan melalui pemasangan papan nama peringatan di pintu masuk, yang berfungsi sebagai pemberitahuan bagi masyarakat atau pengunjung untuk mematuhi aturan yang ada. Meskipun demikian, bagi LPHD, adanya aturan tertulis dan tanda peringatan tersebut memiliki manfaat penting dalam menjaga kelestarian hutan, meminimalkan kerusakan lingkungan, dan mengatur pemanfaatan sumber daya alam secara berkelanjutan. Selain itu, aturan ini juga memberikan kepastian hukum bagi kelompok pengelola hutan dalam mempertahankan hak mereka atas kawasan yang dikelola, serta mendukung upaya konservasi yang lebih efektif.</w:t>
      </w:r>
    </w:p>
    <w:p w14:paraId="794DCC7A">
      <w:pPr>
        <w:spacing w:after="0" w:line="240" w:lineRule="auto"/>
        <w:ind w:firstLine="567"/>
        <w:jc w:val="both"/>
      </w:pPr>
    </w:p>
    <w:p w14:paraId="31CC4531">
      <w:pPr>
        <w:spacing w:after="0" w:line="240" w:lineRule="auto"/>
        <w:ind w:firstLine="567"/>
        <w:jc w:val="both"/>
        <w:rPr>
          <w:rFonts w:ascii="Times New Roman" w:hAnsi="Times New Roman" w:cs="Times New Roman"/>
        </w:rPr>
      </w:pPr>
      <w:r>
        <w:rPr>
          <w:rFonts w:ascii="Times New Roman" w:hAnsi="Times New Roman" w:cs="Times New Roman"/>
          <w:lang w:val="sv-SE"/>
        </w:rPr>
        <w:t xml:space="preserve"> Semua responden memberikan jawaban yang berbeda-beda sehingga memperoleh presentase sejumlah </w:t>
      </w:r>
      <w:r>
        <w:rPr>
          <w:rFonts w:ascii="Times New Roman" w:hAnsi="Times New Roman" w:cs="Times New Roman"/>
        </w:rPr>
        <w:t>44,75</w:t>
      </w:r>
      <w:r>
        <w:rPr>
          <w:rFonts w:ascii="Times New Roman" w:hAnsi="Times New Roman" w:cs="Times New Roman"/>
          <w:lang w:val="sv-SE"/>
        </w:rPr>
        <w:t xml:space="preserve">%. </w:t>
      </w:r>
      <w:r>
        <w:rPr>
          <w:rFonts w:ascii="Times New Roman" w:hAnsi="Times New Roman" w:cs="Times New Roman"/>
        </w:rPr>
        <w:t>Berdasarkan analisis yang dilakukan kriteria ini tergolong pada kategori cukup karena memperoleh nilai presentase nilai (40-60), administrasi kelembagaan  LPHD Mesale dikatakan cukup dikarenakan hanya mempunyai buku notulen pertemuan yang dijadikan sebagai pelaporan akhir kepada pendamping, masyarakat hutan desa Mesale lebih memahami akan pemanfaatan hasil hutan dibandingkan kelengkapan administrasi kelembagaan, maka dari itu perlu dilakukan sosialisasi kepada pengurus akan pentingnya administrasi untuk bisa menjalankan roda organisasi dengan baik.</w:t>
      </w:r>
    </w:p>
    <w:p w14:paraId="209162ED">
      <w:pPr>
        <w:pStyle w:val="9"/>
        <w:numPr>
          <w:ilvl w:val="0"/>
          <w:numId w:val="3"/>
        </w:numPr>
        <w:spacing w:after="0" w:line="240" w:lineRule="auto"/>
        <w:jc w:val="both"/>
        <w:rPr>
          <w:rFonts w:ascii="Times New Roman" w:hAnsi="Times New Roman" w:cs="Times New Roman"/>
          <w:vanish/>
        </w:rPr>
      </w:pPr>
    </w:p>
    <w:p w14:paraId="2C30A4F8">
      <w:pPr>
        <w:pStyle w:val="9"/>
        <w:numPr>
          <w:ilvl w:val="0"/>
          <w:numId w:val="3"/>
        </w:numPr>
        <w:spacing w:after="0" w:line="240" w:lineRule="auto"/>
        <w:jc w:val="both"/>
        <w:rPr>
          <w:rFonts w:ascii="Times New Roman" w:hAnsi="Times New Roman" w:cs="Times New Roman"/>
          <w:vanish/>
        </w:rPr>
      </w:pPr>
    </w:p>
    <w:p w14:paraId="5D215F61">
      <w:pPr>
        <w:pStyle w:val="9"/>
        <w:numPr>
          <w:ilvl w:val="0"/>
          <w:numId w:val="3"/>
        </w:numPr>
        <w:spacing w:after="0" w:line="240" w:lineRule="auto"/>
        <w:jc w:val="both"/>
        <w:rPr>
          <w:rFonts w:ascii="Times New Roman" w:hAnsi="Times New Roman" w:cs="Times New Roman"/>
          <w:vanish/>
        </w:rPr>
      </w:pPr>
    </w:p>
    <w:p w14:paraId="28CED625">
      <w:pPr>
        <w:pStyle w:val="9"/>
        <w:numPr>
          <w:ilvl w:val="1"/>
          <w:numId w:val="3"/>
        </w:numPr>
        <w:spacing w:after="0" w:line="240" w:lineRule="auto"/>
        <w:jc w:val="both"/>
        <w:rPr>
          <w:rFonts w:ascii="Times New Roman" w:hAnsi="Times New Roman" w:cs="Times New Roman"/>
          <w:vanish/>
        </w:rPr>
      </w:pPr>
    </w:p>
    <w:p w14:paraId="1256A7C8">
      <w:pPr>
        <w:pStyle w:val="9"/>
        <w:numPr>
          <w:ilvl w:val="2"/>
          <w:numId w:val="3"/>
        </w:numPr>
        <w:spacing w:after="0" w:line="240" w:lineRule="auto"/>
        <w:jc w:val="both"/>
        <w:rPr>
          <w:rFonts w:ascii="Times New Roman" w:hAnsi="Times New Roman" w:cs="Times New Roman"/>
          <w:vanish/>
        </w:rPr>
      </w:pPr>
    </w:p>
    <w:p w14:paraId="5E60C52A">
      <w:pPr>
        <w:spacing w:after="0" w:line="240" w:lineRule="auto"/>
        <w:jc w:val="both"/>
        <w:rPr>
          <w:rFonts w:ascii="Times New Roman" w:hAnsi="Times New Roman" w:cs="Times New Roman"/>
        </w:rPr>
      </w:pPr>
    </w:p>
    <w:p w14:paraId="048730D0">
      <w:pPr>
        <w:spacing w:line="240" w:lineRule="auto"/>
        <w:ind w:left="567" w:hanging="567"/>
        <w:jc w:val="both"/>
        <w:rPr>
          <w:rFonts w:ascii="Times New Roman" w:hAnsi="Times New Roman" w:cs="Times New Roman"/>
          <w:i/>
          <w:iCs/>
          <w:lang w:val="sv-SE"/>
        </w:rPr>
      </w:pPr>
      <w:r>
        <w:rPr>
          <w:rFonts w:ascii="Times New Roman" w:hAnsi="Times New Roman" w:cs="Times New Roman"/>
          <w:i/>
          <w:iCs/>
          <w:lang w:val="sv-SE"/>
        </w:rPr>
        <w:t>Aktivitas Kelompok</w:t>
      </w:r>
    </w:p>
    <w:p w14:paraId="14E417FC">
      <w:pPr>
        <w:spacing w:after="0" w:line="240" w:lineRule="auto"/>
        <w:ind w:firstLine="720"/>
        <w:jc w:val="both"/>
        <w:rPr>
          <w:rFonts w:ascii="Times New Roman" w:hAnsi="Times New Roman" w:eastAsia="Times New Roman" w:cs="Times New Roman"/>
          <w:lang w:val="sv-SE" w:eastAsia="zh-CN"/>
        </w:rPr>
      </w:pPr>
      <w:r>
        <w:rPr>
          <w:rFonts w:ascii="Times New Roman" w:hAnsi="Times New Roman" w:eastAsia="Times New Roman" w:cs="Times New Roman"/>
          <w:lang w:val="sv-SE" w:eastAsia="zh-CN"/>
        </w:rPr>
        <w:t>LPHD merupakan media untuk masyarakat menjalankan sistem pengelolaan hutan dan bertanggung jawab untuk menjaga kelestarian hutan yang dikelola</w:t>
      </w:r>
      <w:r>
        <w:rPr>
          <w:rFonts w:ascii="Times New Roman" w:hAnsi="Times New Roman" w:eastAsia="Times New Roman" w:cs="Times New Roman"/>
          <w:sz w:val="24"/>
          <w:szCs w:val="24"/>
          <w:lang w:val="sv-SE" w:eastAsia="zh-CN"/>
        </w:rPr>
        <w:t xml:space="preserve">. </w:t>
      </w:r>
      <w:r>
        <w:rPr>
          <w:rFonts w:ascii="Times New Roman" w:hAnsi="Times New Roman" w:eastAsia="Times New Roman" w:cs="Times New Roman"/>
          <w:lang w:val="sv-SE" w:eastAsia="zh-CN"/>
        </w:rPr>
        <w:t xml:space="preserve">Keradaan LPHD sangat penting bagi masyarakat dalam rangka menjaga kestabilan fungsi hutan yang dikelola dan dapat meningkatkan perekonomian masyarakat sekitar kawasan hutan. Usaha agroforestri menjadi salah satu indikator kinerja LPHD dalam upaya meningkatkan kesejahteraan masyarakat (Qurniati et al. 2017). </w:t>
      </w:r>
      <w:r>
        <w:rPr>
          <w:rFonts w:ascii="Times New Roman" w:hAnsi="Times New Roman" w:cs="Times New Roman"/>
          <w:lang w:val="sv-SE"/>
        </w:rPr>
        <w:t>Pengembangan kapasitas kelembagaan yang diusahakan LPHD Mesale berupa pelatihan yang ditujukan kepada anggota. pelatihan dapat memberikan kesempatan bagi anggota untuk mengembangkan karier dan memperluas jaringan profesional, membuka peluang bagi mereka untuk mencapai posisi yang lebih tinggi atau bahkan terlibat dalam proyek-proyek lebih besar. Tidak kalah pentingnya, pelatihan dapat meningkatkan motivasi dan kepuasan kerja, karena anggota merasa dihargai dan diberi kesempatan untuk terus berkembang. Terakhir, pelatihan juga membantu anggota LPHD untuk beradaptasi dengan perubahan yang terjadi di masyarakat, seperti perkembangan teknologi dan dinamika sosial-politik, sehingga mereka dapat tetap relevan dan berkontribusi secara optimal. Dengan semua manfaat ini, pelatihan menjadi investasi penting dalam meningkatkan kualitas sumber daya manusia yang ada dalam LPHD. Jumlah anggota LPHD yang telah mengikuti pelatihan tergolong dalam kategori bagus, hasil wawancara semua responden mengatakan bahwa anggota LPHD hampir 95% telah mengikuti pelatihan, Pelatihan yang diikuti biasanya dari program pemerintah atau LSM Sikola Mombine.</w:t>
      </w:r>
      <w:r>
        <w:rPr>
          <w:rFonts w:ascii="Times New Roman" w:hAnsi="Times New Roman" w:eastAsia="Times New Roman" w:cs="Times New Roman"/>
          <w:lang w:val="sv-SE" w:eastAsia="zh-CN"/>
        </w:rPr>
        <w:t xml:space="preserve"> </w:t>
      </w:r>
    </w:p>
    <w:p w14:paraId="490CFE97">
      <w:pPr>
        <w:spacing w:after="0" w:line="240" w:lineRule="auto"/>
        <w:ind w:firstLine="720"/>
        <w:jc w:val="both"/>
        <w:rPr>
          <w:rFonts w:ascii="Times New Roman" w:hAnsi="Times New Roman" w:cs="Times New Roman"/>
          <w:lang w:val="sv-SE"/>
        </w:rPr>
      </w:pPr>
      <w:r>
        <w:rPr>
          <w:rFonts w:ascii="Times New Roman" w:hAnsi="Times New Roman" w:cs="Times New Roman"/>
          <w:lang w:val="sv-SE"/>
        </w:rPr>
        <w:t xml:space="preserve">Pengembangan Kelompok Usaha Perhutanan Sosial (KUPS) LPHD Mesale telah di bentuk pada tanggal 23 Juni 2023 bertempat di kantor Desa Malitu, LPHD Mesale telah mengembangkan usaha kurang lebih 3 rencana kegiatan usaha yang telah dijalankan seperti KUPS gula semut dan gula batok yang diberi nama KUPS Lestari, KUPS kerajinan bambu dan nibong yang diberikan nama KUPS Fargesia dan menurut respon pengurus dan anggota akan ada tambahan jenis usaha yaitu KUPS rotan. Atau sebutan nama di SK KUPS Madago Raya, Semua jenis usaha LPHD Mesale telah dijadikan masyarakat setempat sebagai mata pencarian utama. </w:t>
      </w:r>
      <w:r>
        <w:rPr>
          <w:rFonts w:ascii="Times New Roman" w:hAnsi="Times New Roman" w:cs="Times New Roman"/>
        </w:rPr>
        <w:t>Pengembangan Kelompok usaha Hasil Hutan Bukan Kayu (HHBK) menjadi salah satu alternatif utama yang banyak dicari oleh masyarakat, terutama di daerah yang memiliki potensi hutan yang melimpah. Tidak hanya memberikan peluang ekonomi yang menguntungkan, tetapi juga dapat meningkatkan kesejahteraan masyarakat secara berkelanjutan. Selain itu, usaha HHBK berperan penting dalam konservasi lingkungan karena dapat mengurangi tekanan terhadap pemanfaatan hutan yang berlebihan, dengan memberikan nilai tambah pada produk hutan yang ramah lingkungan. Dengan pengelolaan yang baik, usaha HHBK dapat menciptakan lapangan pekerjaan, meningkatkan pendapatan masyarakat, serta mengoptimalkan pemanfaatan sumber daya alam secara lebih bijaksana dan berkelanjutan.</w:t>
      </w:r>
      <w:r>
        <w:rPr>
          <w:rFonts w:ascii="Times New Roman" w:hAnsi="Times New Roman" w:cs="Times New Roman"/>
          <w:lang w:val="sv-SE"/>
        </w:rPr>
        <w:t xml:space="preserve"> </w:t>
      </w:r>
    </w:p>
    <w:p w14:paraId="53FC0A2C">
      <w:pPr>
        <w:spacing w:after="0" w:line="240" w:lineRule="auto"/>
        <w:ind w:firstLine="720"/>
        <w:jc w:val="both"/>
        <w:rPr>
          <w:rFonts w:ascii="Times New Roman" w:hAnsi="Times New Roman" w:cs="Times New Roman"/>
          <w:lang w:val="sv-SE"/>
        </w:rPr>
      </w:pPr>
      <w:r>
        <w:rPr>
          <w:rFonts w:ascii="Times New Roman" w:hAnsi="Times New Roman" w:cs="Times New Roman"/>
          <w:lang w:val="sv-SE"/>
        </w:rPr>
        <w:t>Penilaian aktivitas kelompok dalam melakukan rehabilitasi dinilai dari apakah sudah dilakukan penanaman dan membangun bangunan konservasi tanah dan air. Bangunan yang dimaksud berupa menara api, pos pantau dan embung. LPHD Mesale belum melakukan rehabilitasi penanaman dan membangun bangunan konservasi tanah dan air, dikarenakan rata rata vegetasi tanaman tidak berkayu yang tumbuh di Kawasan. Belum dilakukannya kegiatan rehabilitasi dalam kawasan LPHD (Lahan Pengelolaan Hutan Desa) disebabkan oleh beberapa faktor, di antaranya keterbatasan sumber daya dan pendanaan yang tersedia, serta kurangnya koordinasi antara pihak-pihak terkait, baik dari pemerintah, masyarakat, maupun pihak swasta. Selain itu, tantangan dalam pengelolaan kawasan yang masih memiliki masalah terkait peraturan dan pemahaman masyarakat mengenai pentingnya rehabilitasi hutan juga menjadi hambatan. Faktor teknis seperti identifikasi area yang perlu direhabilitasi dan pemilihan metode yang sesuai dengan kondisi lokal juga mempengaruhi keterlambatan pelaksanaan kegiatan tersebut. Manfaat dilakukannya kegiatan rehabilitasi dalam kawasan LPHD (Lahan Pengelolaan Hutan Desa) sangat signifikan, baik bagi lingkungan maupun masyarakat setempat. Rehabilitasi hutan dapat mengembalikan fungsi ekosistem, seperti peningkatan kualitas tanah, pemulihan sumber air, serta meningkatkan keanekaragaman hayati yang mendukung keseimbangan alam. Bagi masyarakat, kegiatan ini membuka peluang untuk meningkatkan kesejahteraan melalui pengelolaan sumber daya alam yang berkelanjutan, seperti hasil hutan non-kayu atau ekowisata. Selain itu, rehabilitasi juga dapat memperkuat ketahanan bencana, mengurangi erosi, dan meningkatkan cadangan karbon, yang pada gilirannya berkontribusi pada mitigasi perubahan iklim. Dengan demikian, rehabilitasi di kawasan LPHD tidak hanya memberikan manfaat ekologis, tetapi juga sosial dan ekonomi bagi komunitas desa.</w:t>
      </w:r>
    </w:p>
    <w:p w14:paraId="01A7049E">
      <w:pPr>
        <w:spacing w:after="0" w:line="240" w:lineRule="auto"/>
        <w:ind w:firstLine="567"/>
        <w:jc w:val="both"/>
        <w:rPr>
          <w:rFonts w:ascii="Times New Roman" w:hAnsi="Times New Roman" w:cs="Times New Roman"/>
          <w:lang w:val="sv-SE"/>
        </w:rPr>
      </w:pPr>
      <w:r>
        <w:rPr>
          <w:rFonts w:ascii="Times New Roman" w:hAnsi="Times New Roman" w:cs="Times New Roman"/>
          <w:lang w:val="sv-SE"/>
        </w:rPr>
        <w:t xml:space="preserve">LPHD Mesale belum memliki koperasi tetapi telah bekerjasama dengan  mitra. </w:t>
      </w:r>
      <w:r>
        <w:rPr>
          <w:rFonts w:ascii="Times New Roman" w:hAnsi="Times New Roman" w:cs="Times New Roman"/>
        </w:rPr>
        <w:t>Koperasi memiliki peran yang sangat penting bagi lembaga seperti LPHD (Lembaga Pengelola Hutan Desa), terutama dalam konteks memperkuat kemandirian ekonomi dan meningkatkan kesejahteraan masyarakat. Meskipun LPHD belum memiliki koperasi, kerjasama dengan mitra-mitra yang relevan dapat memberikan manfaat besar dalam hal akses ke modal, pemasaran produk, dan pelatihan manajerial. Koperasi dapat menjadi wadah yang efektif untuk mengorganisir anggotanya, mengelola sumber daya secara kolektif, serta memperkuat daya tawar dalam menghadapi pasar. Melalui koperasi, LPHD bisa meningkatkan pengelolaan sumber daya alam secara berkelanjutan, sekaligus menciptakan kesempatan ekonomi yang lebih merata bagi masyarakat desa.</w:t>
      </w:r>
      <w:r>
        <w:t xml:space="preserve"> </w:t>
      </w:r>
      <w:r>
        <w:rPr>
          <w:rFonts w:ascii="Times New Roman" w:hAnsi="Times New Roman" w:cs="Times New Roman"/>
          <w:lang w:val="sv-SE"/>
        </w:rPr>
        <w:t xml:space="preserve"> </w:t>
      </w:r>
    </w:p>
    <w:p w14:paraId="51683E07">
      <w:pPr>
        <w:spacing w:line="240" w:lineRule="auto"/>
        <w:ind w:firstLine="567"/>
        <w:jc w:val="both"/>
        <w:rPr>
          <w:rFonts w:ascii="Times New Roman" w:hAnsi="Times New Roman" w:cs="Times New Roman"/>
          <w:lang w:val="sv-SE"/>
        </w:rPr>
      </w:pPr>
      <w:r>
        <w:rPr>
          <w:rFonts w:ascii="Times New Roman" w:hAnsi="Times New Roman" w:cs="Times New Roman"/>
        </w:rPr>
        <w:t>Pertemuan yang rutin sangat penting bagi lembaga karena dapat memperkuat komunikasi antar anggota, meningkatkan koordinasi, dan memastikan bahwa setiap tujuan serta rencana kerja dapat terlaksana dengan baik. Melalui pertemuan berkala, lembaga dapat mengevaluasi kemajuan yang telah dicapai, mengidentifikasi masalah yang muncul, serta mencari solusi secara bersama-sama. Selain itu, pertemuan rutin juga menciptakan kesempatan bagi anggota untuk berbagi informasi dan ide, yang pada gilirannya dapat meningkatkan kinerja dan efisiensi lembaga secara keseluruhan</w:t>
      </w:r>
      <w:r>
        <w:t>.</w:t>
      </w:r>
      <w:r>
        <w:rPr>
          <w:rFonts w:ascii="Times New Roman" w:hAnsi="Times New Roman" w:cs="Times New Roman"/>
          <w:lang w:val="sv-SE"/>
        </w:rPr>
        <w:t>Dari data yang diperoleh dilapangan, LPHD Mesale telah melakukan pertemuan rutin hanya 1 kali dalam 1 bulan. Pertemuan ini membahas bagaimana kemajuan kelompok tani yang dibina. Presentase penilaian yang didapatkan pada kriteria aktivitas kelompok diperoleh sejumlah 46,50%, dan tergolong kedalam kriteria cukup baik.</w:t>
      </w:r>
    </w:p>
    <w:p w14:paraId="272081AA">
      <w:pPr>
        <w:spacing w:line="240" w:lineRule="auto"/>
        <w:ind w:left="567" w:hanging="567"/>
        <w:jc w:val="both"/>
        <w:rPr>
          <w:rFonts w:ascii="Times New Roman" w:hAnsi="Times New Roman" w:cs="Times New Roman"/>
          <w:i/>
          <w:iCs/>
          <w:lang w:val="sv-SE"/>
        </w:rPr>
      </w:pPr>
      <w:r>
        <w:rPr>
          <w:rFonts w:ascii="Times New Roman" w:hAnsi="Times New Roman" w:cs="Times New Roman"/>
          <w:i/>
          <w:iCs/>
          <w:lang w:val="sv-SE"/>
        </w:rPr>
        <w:t>Pelaporan</w:t>
      </w:r>
    </w:p>
    <w:p w14:paraId="38B59AD2">
      <w:pPr>
        <w:spacing w:after="0" w:line="240" w:lineRule="auto"/>
        <w:ind w:firstLine="567"/>
        <w:jc w:val="both"/>
      </w:pPr>
      <w:r>
        <w:rPr>
          <w:rFonts w:ascii="Times New Roman" w:hAnsi="Times New Roman" w:eastAsia="Times New Roman" w:cs="Times New Roman"/>
          <w:lang w:val="sv-SE" w:eastAsia="zh-CN"/>
        </w:rPr>
        <w:t>Salah satu  kendala yang sering dijumpai dalam  administrasi pelaporan dan evaluasi adalah akurasi data, kendala ini bisa mengakibatkan keputusan yang tidak tepat dan menghambat efektivitas proses evaluasi</w:t>
      </w:r>
      <w:r>
        <w:rPr>
          <w:rFonts w:ascii="Times New Roman" w:hAnsi="Times New Roman" w:eastAsia="Times New Roman" w:cs="Times New Roman"/>
          <w:lang w:eastAsia="zh-CN"/>
        </w:rPr>
        <w:t xml:space="preserve"> (</w:t>
      </w:r>
      <w:r>
        <w:rPr>
          <w:rFonts w:ascii="Times New Roman" w:hAnsi="Times New Roman" w:eastAsia="Times New Roman" w:cs="Times New Roman"/>
          <w:lang w:val="sv-SE" w:eastAsia="zh-CN"/>
        </w:rPr>
        <w:t>Jabbar, S.A., &amp; Sharif, N. 2021)</w:t>
      </w:r>
      <w:r>
        <w:rPr>
          <w:rFonts w:ascii="Times New Roman" w:hAnsi="Times New Roman" w:eastAsia="Times New Roman" w:cs="Times New Roman"/>
          <w:lang w:eastAsia="zh-CN"/>
        </w:rPr>
        <w:t xml:space="preserve">. </w:t>
      </w:r>
      <w:r>
        <w:rPr>
          <w:rFonts w:ascii="Times New Roman" w:hAnsi="Times New Roman" w:cs="Times New Roman"/>
        </w:rPr>
        <w:t>Hasil wawancara responden mengatakan bahwa pelaporan dan dokumentasi LPHD masih sangat kurang dan sering terlambat dikarenakan pemahaman pengurus tentang administrasi masih lemah, bisa lemahnya dikarenakan tidak ada keterampilan atau pelatihan yang cukup untuk mengelola pelaporan administrasi dan kurangnya pengawasan atau evaluasi dari pendamping sehingga kelembagaan tidak meyadari atau memperbaiki kelemahan dalam pelaporan administrasi. Pelaporan yang tidak tepat waktu dan tidak lengkap dapat menghambat proses pengambilan keputusan yang efektif, menyebabkan ketidakjelasan dalam pemantauan perkembangan, dan menurunkan akurasi informasi yang diperlukan untuk merumuskan kebijakan yang tepat. Ketidakpatuhan terhadap jadwal pelaporan serta kurangnya detail dalam laporan akan mempersulit pihak yang berkepentingan dalam memahami situasi terkini, sehingga meningkatkan risiko kesalahan dalam tindakan yang diambil</w:t>
      </w:r>
      <w:r>
        <w:t xml:space="preserve">. </w:t>
      </w:r>
    </w:p>
    <w:p w14:paraId="39E7EA50">
      <w:pPr>
        <w:spacing w:line="240" w:lineRule="auto"/>
        <w:ind w:firstLine="567"/>
        <w:jc w:val="both"/>
        <w:rPr>
          <w:rFonts w:ascii="Times New Roman" w:hAnsi="Times New Roman" w:cs="Times New Roman"/>
        </w:rPr>
      </w:pPr>
      <w:r>
        <w:rPr>
          <w:rFonts w:ascii="Times New Roman" w:hAnsi="Times New Roman" w:cs="Times New Roman"/>
        </w:rPr>
        <w:t>Dokumentasi kegiatan yang tidak lengkap, mulai dari tahap persiapan hingga pelaksanaan distribusi, dapat menyebabkan kesulitan dalam melakukan evaluasi dan audit atas</w:t>
      </w:r>
      <w:r>
        <w:rPr>
          <w:rFonts w:hint="default" w:ascii="Times New Roman" w:hAnsi="Times New Roman" w:cs="Times New Roman"/>
          <w:lang w:val="en-US"/>
        </w:rPr>
        <w:t xml:space="preserve"> </w:t>
      </w:r>
      <w:r>
        <w:rPr>
          <w:rFonts w:ascii="Times New Roman" w:hAnsi="Times New Roman" w:cs="Times New Roman"/>
        </w:rPr>
        <w:t xml:space="preserve">keseluruhan proses. Ketidakterperinciannya informasi pada setiap tahap kegiatan menghambat transparansi, mempersulit identifikasi kendala yang muncul, serta mengurangi akurasi dalam pelaporan dan perencanaan untuk kegiatan serupa di masa depan. Untuk memastikan lembaga tetap berjalan dengan baik meskipun dokumentasi kegiatan mulai dari persiapan hingga distribusi tidak lengkap, solusi yang dapat diterapkan adalah dengan segera melakukan perbaikan sistem dokumentasi yang lebih terstruktur dan sistematis. </w:t>
      </w:r>
    </w:p>
    <w:p w14:paraId="251B188C">
      <w:pPr>
        <w:spacing w:line="240" w:lineRule="auto"/>
        <w:ind w:firstLine="567"/>
        <w:jc w:val="both"/>
        <w:rPr>
          <w:rFonts w:ascii="Times New Roman" w:hAnsi="Times New Roman" w:cs="Times New Roman"/>
        </w:rPr>
      </w:pPr>
      <w:r>
        <w:rPr>
          <w:rFonts w:ascii="Times New Roman" w:hAnsi="Times New Roman" w:cs="Times New Roman"/>
        </w:rPr>
        <w:t xml:space="preserve">Hal ini meliputi pembuatan prosedur baku dalam pencatatan setiap tahap kegiatan, pelatihan bagi seluruh pihak yang terlibat untuk memastikan mereka memahami pentingnya dokumentasi yang lengkap dan akurat, serta penggunaan teknologi atau sistem manajemen yang dapat mempermudah pencatatan dan penyimpanan data secara digital. Selain itu, evaluasi berkala terhadap proses dokumentasi dan implementasi kontrol internal yang lebih ketat juga perlu dilakukan untuk mengidentifikasi dan mengatasi kekurangan yang ada, sehingga proses operasional dapat berjalan dengan lancar dan transparan. Penelitian pada kriteria pelaporan memperoleh nilai presentase 36,50%, sehingga tergolong kedalam kriteria kurang (0-40). </w:t>
      </w:r>
    </w:p>
    <w:p w14:paraId="1B8978C5">
      <w:pPr>
        <w:spacing w:line="240" w:lineRule="auto"/>
        <w:jc w:val="both"/>
        <w:rPr>
          <w:rFonts w:ascii="Times New Roman" w:hAnsi="Times New Roman" w:cs="Times New Roman"/>
          <w:b/>
          <w:bCs/>
          <w:lang w:val="sv-SE"/>
        </w:rPr>
      </w:pPr>
      <w:r>
        <w:rPr>
          <w:rFonts w:ascii="Times New Roman" w:hAnsi="Times New Roman" w:cs="Times New Roman"/>
          <w:b/>
          <w:bCs/>
          <w:lang w:val="sv-SE"/>
        </w:rPr>
        <w:t>Faktor yang mempengaruhi kelembagaan LPHD Mesale</w:t>
      </w:r>
    </w:p>
    <w:p w14:paraId="30BE0059">
      <w:pPr>
        <w:spacing w:line="240" w:lineRule="auto"/>
        <w:ind w:firstLine="567"/>
        <w:jc w:val="both"/>
        <w:rPr>
          <w:rFonts w:ascii="Times New Roman" w:hAnsi="Times New Roman" w:cs="Times New Roman"/>
          <w:lang w:val="sv-SE"/>
        </w:rPr>
      </w:pPr>
      <w:r>
        <w:rPr>
          <w:rFonts w:ascii="Times New Roman" w:hAnsi="Times New Roman" w:cs="Times New Roman"/>
          <w:lang w:val="sv-SE"/>
        </w:rPr>
        <w:t xml:space="preserve">Faktor utama yang terdapat pada LPHD Mesale tidak ada pendanaan terhadap LPHD Mesale Pemerintah desa selaku pihak yang menerbitkan SK pembentukan pengurus dan anggota LPHD Mesale tidak dapat mengalokasikan dana desa dari APBDes untuk dikelola LPHD Mesale sebab alokasi dana desa sudah ditetapkan.  Masalah pendanaan ini perlu dikomunikasikan dengan instansi terkait melalui peran pendampingan perhutanan sosial LPHD Mesale untuk dapat menyukseskan program kerja LPHD Mesale. </w:t>
      </w:r>
    </w:p>
    <w:p w14:paraId="5897695D">
      <w:pPr>
        <w:spacing w:line="240" w:lineRule="auto"/>
        <w:ind w:firstLine="567"/>
        <w:jc w:val="both"/>
        <w:rPr>
          <w:rFonts w:ascii="Times New Roman" w:hAnsi="Times New Roman" w:cs="Times New Roman"/>
          <w:lang w:val="sv-SE"/>
        </w:rPr>
      </w:pPr>
      <w:r>
        <w:rPr>
          <w:rFonts w:ascii="Times New Roman" w:hAnsi="Times New Roman" w:cs="Times New Roman"/>
          <w:lang w:val="sv-SE"/>
        </w:rPr>
        <w:t xml:space="preserve">Kerja sama antara LPHD, masyarakat sekitar hutan, instansi yang terkait, dan pendamping lapangan terkait peningkatan pendanaan akan membantu program program yang direncanakan berjalan dengan. Melalui pendamping, pengelola hutan desa akan dengan mudah memperoleh akses terhadap </w:t>
      </w:r>
      <w:r>
        <w:rPr>
          <w:rFonts w:ascii="Times New Roman" w:hAnsi="Times New Roman" w:cs="Times New Roman"/>
          <w:i/>
          <w:iCs/>
          <w:lang w:val="sv-SE"/>
        </w:rPr>
        <w:t xml:space="preserve">stekholder </w:t>
      </w:r>
      <w:r>
        <w:rPr>
          <w:rFonts w:ascii="Times New Roman" w:hAnsi="Times New Roman" w:cs="Times New Roman"/>
          <w:lang w:val="sv-SE"/>
        </w:rPr>
        <w:t xml:space="preserve">terkait optimalisasi program kerja sebagai solusi permasalahan (Maiwa, </w:t>
      </w:r>
      <w:r>
        <w:rPr>
          <w:rFonts w:ascii="Times New Roman" w:hAnsi="Times New Roman" w:cs="Times New Roman"/>
          <w:i/>
          <w:iCs/>
          <w:lang w:val="sv-SE"/>
        </w:rPr>
        <w:t xml:space="preserve">et al, </w:t>
      </w:r>
      <w:r>
        <w:rPr>
          <w:rFonts w:ascii="Times New Roman" w:hAnsi="Times New Roman" w:cs="Times New Roman"/>
          <w:lang w:val="sv-SE"/>
        </w:rPr>
        <w:t>2023).</w:t>
      </w:r>
    </w:p>
    <w:p w14:paraId="2D1D28DB">
      <w:pPr>
        <w:spacing w:line="240" w:lineRule="auto"/>
        <w:jc w:val="both"/>
        <w:rPr>
          <w:rFonts w:ascii="Times New Roman" w:hAnsi="Times New Roman" w:cs="Times New Roman"/>
          <w:b/>
          <w:iCs/>
          <w:sz w:val="24"/>
          <w:szCs w:val="24"/>
        </w:rPr>
      </w:pPr>
      <w:bookmarkStart w:id="1" w:name="_GoBack"/>
      <w:bookmarkEnd w:id="1"/>
      <w:r>
        <w:rPr>
          <w:rFonts w:ascii="Times New Roman" w:hAnsi="Times New Roman" w:cs="Times New Roman"/>
          <w:b/>
          <w:iCs/>
          <w:sz w:val="24"/>
          <w:szCs w:val="24"/>
        </w:rPr>
        <w:t>KESIMPULAN</w:t>
      </w:r>
    </w:p>
    <w:p w14:paraId="55C61D65">
      <w:pPr>
        <w:pStyle w:val="4"/>
        <w:ind w:firstLine="567"/>
        <w:jc w:val="both"/>
      </w:pPr>
      <w:r>
        <w:t xml:space="preserve">Berdasarkan  hasil  analisis  disimpulkan  bahwa  Kinerja kelembagaan hutan desa Mesale tergolong kategori  </w:t>
      </w:r>
      <w:r>
        <w:rPr>
          <w:lang w:val="sv-SE"/>
        </w:rPr>
        <w:t>cukup baik</w:t>
      </w:r>
      <w:r>
        <w:t>, dikarenakan masyarakat desa Malitu hanya memahami kinerja pada pemanfaatan hutan.</w:t>
      </w:r>
      <w:r>
        <w:rPr>
          <w:lang w:val="sv-SE"/>
        </w:rPr>
        <w:t xml:space="preserve"> </w:t>
      </w:r>
      <w:r>
        <w:t>Informasi yang diberikan oleh pendamping dari KPH, Kepala Desa, Pengurus dan anggota LPHD Mesale menyatakan bahwa anggota hanya memahami akan perencanaan pemanfaatan HD dan program rencana kerja. Setiap kegiatan yang sudah tercantum pada rencana kerja LPHD Mesale memerlukan pembinaan dan dorongan dari berbagai pihak terkait pengetahuan administrasi dan pemanfaatan HD.</w:t>
      </w:r>
      <w:r>
        <w:rPr>
          <w:lang w:val="en-US"/>
        </w:rPr>
        <w:t xml:space="preserve"> </w:t>
      </w:r>
      <w:r>
        <w:t>Faktor</w:t>
      </w:r>
      <w:r>
        <w:rPr>
          <w:lang w:val="en-US"/>
        </w:rPr>
        <w:t xml:space="preserve"> utama</w:t>
      </w:r>
      <w:r>
        <w:t xml:space="preserve"> yang mempengaruhi kinerja kelembagaan yaitu ada tidaknya pendanaan terhadap lembaga. </w:t>
      </w:r>
    </w:p>
    <w:p w14:paraId="1CDFEE4F">
      <w:pPr>
        <w:spacing w:after="0" w:line="240" w:lineRule="auto"/>
        <w:jc w:val="both"/>
        <w:rPr>
          <w:rFonts w:ascii="Times New Roman" w:hAnsi="Times New Roman" w:cs="Times New Roman"/>
          <w:b/>
          <w:iCs/>
          <w:sz w:val="24"/>
          <w:szCs w:val="24"/>
        </w:rPr>
      </w:pPr>
    </w:p>
    <w:p w14:paraId="27813D86">
      <w:pPr>
        <w:pStyle w:val="4"/>
        <w:spacing w:after="240"/>
        <w:jc w:val="both"/>
        <w:rPr>
          <w:rFonts w:eastAsia="SimSun"/>
          <w:b/>
          <w:lang w:val="id-ID"/>
        </w:rPr>
      </w:pPr>
      <w:r>
        <w:rPr>
          <w:rFonts w:eastAsia="SimSun"/>
          <w:b/>
        </w:rPr>
        <w:t>U</w:t>
      </w:r>
      <w:r>
        <w:rPr>
          <w:rFonts w:eastAsia="SimSun"/>
          <w:b/>
          <w:lang w:val="id-ID"/>
        </w:rPr>
        <w:t>CAPAN TERIMAKASIH</w:t>
      </w:r>
    </w:p>
    <w:p w14:paraId="242207A3">
      <w:pPr>
        <w:pStyle w:val="4"/>
        <w:spacing w:after="240"/>
        <w:ind w:firstLine="720"/>
        <w:jc w:val="both"/>
        <w:rPr>
          <w:rFonts w:eastAsia="SimSun"/>
          <w:lang w:val="id-ID"/>
        </w:rPr>
      </w:pPr>
      <w:r>
        <w:rPr>
          <w:rFonts w:eastAsia="SimSun"/>
          <w:lang w:val="id-ID"/>
        </w:rPr>
        <w:t>Dengan penuh rasa syukur, penulis mengucapkan terimakasih kepada Fakultas Kehutanan Universitas Tadulako yang telah menyediakan fasilitas dan sumberdaya yang sangat membantu dalam penelitian ini, diucapkan juga terimakasih kepada Pusat MBKM Universitas Tadulako yang telah menyediakan program magang mandiri sebagai salah satu program baru untuk mempercepat studi bagi mahasiswa, diucapkan terimakasih kepada UPMBKM Fakultas Kehutanan yang telah menyediakan fasilitas dan program kepada mahasiswa dalam mengembangkan minat dam bakat melalui program magang mandiri dan berbagai program lainnya, tidak lupa, penulis menyampaikan terimakasih kepada UPT. KPH Sintuwu Maroso sebagai instansi yang telah memberikan dukungan dalam menjalankan penelitian. Semoga karya tulis ini dapat bermanfaat bagi pembaca dan pihak pihak yang berkepentingan.</w:t>
      </w:r>
    </w:p>
    <w:p w14:paraId="44A3C806">
      <w:pPr>
        <w:spacing w:line="240" w:lineRule="auto"/>
        <w:jc w:val="both"/>
        <w:rPr>
          <w:rFonts w:ascii="Times New Roman" w:hAnsi="Times New Roman" w:cs="Times New Roman"/>
          <w:b/>
          <w:iCs/>
          <w:sz w:val="24"/>
          <w:szCs w:val="24"/>
        </w:rPr>
      </w:pPr>
      <w:r>
        <w:rPr>
          <w:rFonts w:ascii="Times New Roman" w:hAnsi="Times New Roman" w:cs="Times New Roman"/>
          <w:b/>
          <w:iCs/>
          <w:sz w:val="24"/>
          <w:szCs w:val="24"/>
        </w:rPr>
        <w:t>DAFTAR PUSTAKA</w:t>
      </w:r>
      <w:r>
        <w:rPr>
          <w:rFonts w:ascii="Times New Roman" w:hAnsi="Times New Roman" w:cs="Times New Roman"/>
          <w:sz w:val="20"/>
          <w:szCs w:val="20"/>
        </w:rPr>
        <w:fldChar w:fldCharType="begin" w:fldLock="1"/>
      </w:r>
      <w:r>
        <w:rPr>
          <w:rFonts w:ascii="Times New Roman" w:hAnsi="Times New Roman" w:cs="Times New Roman"/>
          <w:sz w:val="20"/>
          <w:szCs w:val="20"/>
        </w:rPr>
        <w:instrText xml:space="preserve">ADDIN Mendeley Bibliography CSL_BIBLIOGRAPHY </w:instrText>
      </w:r>
      <w:r>
        <w:rPr>
          <w:rFonts w:ascii="Times New Roman" w:hAnsi="Times New Roman" w:cs="Times New Roman"/>
          <w:sz w:val="20"/>
          <w:szCs w:val="20"/>
        </w:rPr>
        <w:fldChar w:fldCharType="separate"/>
      </w:r>
    </w:p>
    <w:p w14:paraId="5A3D6432">
      <w:pPr>
        <w:widowControl w:val="0"/>
        <w:autoSpaceDE w:val="0"/>
        <w:autoSpaceDN w:val="0"/>
        <w:adjustRightInd w:val="0"/>
        <w:spacing w:line="240" w:lineRule="auto"/>
        <w:ind w:left="480" w:hanging="480"/>
        <w:jc w:val="both"/>
        <w:rPr>
          <w:rFonts w:ascii="Times New Roman" w:hAnsi="Times New Roman" w:cs="Times New Roman"/>
          <w:sz w:val="20"/>
          <w:szCs w:val="24"/>
        </w:rPr>
      </w:pPr>
      <w:r>
        <w:rPr>
          <w:rFonts w:ascii="Times New Roman" w:hAnsi="Times New Roman" w:cs="Times New Roman"/>
          <w:sz w:val="20"/>
          <w:szCs w:val="24"/>
        </w:rPr>
        <w:t xml:space="preserve">Apriandana, F., Safe’i, R., Febryano, I. G., &amp; Kaskoyo, H. (2021). Kinerja Lembaga Pengelola Hutan Desa Muara Danau Kabupaten Muara Enim, Proinsi Sumatera Selatan. </w:t>
      </w:r>
      <w:r>
        <w:rPr>
          <w:rFonts w:ascii="Times New Roman" w:hAnsi="Times New Roman" w:cs="Times New Roman"/>
          <w:i/>
          <w:iCs/>
          <w:sz w:val="20"/>
          <w:szCs w:val="24"/>
        </w:rPr>
        <w:t>ULIN: Jurnal Hutan Tropis</w:t>
      </w:r>
      <w:r>
        <w:rPr>
          <w:rFonts w:ascii="Times New Roman" w:hAnsi="Times New Roman" w:cs="Times New Roman"/>
          <w:sz w:val="20"/>
          <w:szCs w:val="24"/>
        </w:rPr>
        <w:t xml:space="preserve">, </w:t>
      </w:r>
      <w:r>
        <w:rPr>
          <w:rFonts w:ascii="Times New Roman" w:hAnsi="Times New Roman" w:cs="Times New Roman"/>
          <w:i/>
          <w:iCs/>
          <w:sz w:val="20"/>
          <w:szCs w:val="24"/>
        </w:rPr>
        <w:t>5</w:t>
      </w:r>
      <w:r>
        <w:rPr>
          <w:rFonts w:ascii="Times New Roman" w:hAnsi="Times New Roman" w:cs="Times New Roman"/>
          <w:sz w:val="20"/>
          <w:szCs w:val="24"/>
        </w:rPr>
        <w:t>(1), 17. https://doi.org/10.32522/ujht.v5i1.4413</w:t>
      </w:r>
    </w:p>
    <w:p w14:paraId="0039C017">
      <w:pPr>
        <w:widowControl w:val="0"/>
        <w:autoSpaceDE w:val="0"/>
        <w:autoSpaceDN w:val="0"/>
        <w:adjustRightInd w:val="0"/>
        <w:spacing w:line="240" w:lineRule="auto"/>
        <w:ind w:left="480" w:hanging="480"/>
        <w:jc w:val="both"/>
        <w:rPr>
          <w:rFonts w:ascii="Times New Roman" w:hAnsi="Times New Roman" w:cs="Times New Roman"/>
          <w:sz w:val="20"/>
          <w:szCs w:val="24"/>
        </w:rPr>
      </w:pPr>
      <w:r>
        <w:rPr>
          <w:rFonts w:ascii="Times New Roman" w:hAnsi="Times New Roman" w:cs="Times New Roman"/>
          <w:sz w:val="20"/>
          <w:szCs w:val="24"/>
        </w:rPr>
        <w:t xml:space="preserve">Apriandana, F., Safe, R., Febryano, I. G., &amp; Kaskoyo, H. (2021). DARI PERSPEKTIF KINERJA KELEMBAGAAN ( Village Forest Management in Semendo FMU Region VIII from Institutional Aturan-aturan. </w:t>
      </w:r>
      <w:r>
        <w:rPr>
          <w:rFonts w:ascii="Times New Roman" w:hAnsi="Times New Roman" w:cs="Times New Roman"/>
          <w:i/>
          <w:iCs/>
          <w:sz w:val="20"/>
          <w:szCs w:val="24"/>
        </w:rPr>
        <w:t>Jurnal Penelitian Sosial Dan Ekonomi Kehutanan</w:t>
      </w:r>
      <w:r>
        <w:rPr>
          <w:rFonts w:ascii="Times New Roman" w:hAnsi="Times New Roman" w:cs="Times New Roman"/>
          <w:sz w:val="20"/>
          <w:szCs w:val="24"/>
        </w:rPr>
        <w:t xml:space="preserve">, </w:t>
      </w:r>
      <w:r>
        <w:rPr>
          <w:rFonts w:ascii="Times New Roman" w:hAnsi="Times New Roman" w:cs="Times New Roman"/>
          <w:i/>
          <w:iCs/>
          <w:sz w:val="20"/>
          <w:szCs w:val="24"/>
        </w:rPr>
        <w:t>18</w:t>
      </w:r>
      <w:r>
        <w:rPr>
          <w:rFonts w:ascii="Times New Roman" w:hAnsi="Times New Roman" w:cs="Times New Roman"/>
          <w:sz w:val="20"/>
          <w:szCs w:val="24"/>
        </w:rPr>
        <w:t>(3), 185–203. https://app.dimensions.ai/details/publication/pub.1144327466%0Ahttp://ejournal.forda-mof.org/ejournal-litbang/index.php/JPSEK/article/download/5973/pdf</w:t>
      </w:r>
    </w:p>
    <w:p w14:paraId="428AD160">
      <w:pPr>
        <w:widowControl w:val="0"/>
        <w:autoSpaceDE w:val="0"/>
        <w:autoSpaceDN w:val="0"/>
        <w:adjustRightInd w:val="0"/>
        <w:spacing w:line="240" w:lineRule="auto"/>
        <w:ind w:left="480" w:hanging="480"/>
        <w:jc w:val="both"/>
        <w:rPr>
          <w:rFonts w:ascii="Times New Roman" w:hAnsi="Times New Roman" w:cs="Times New Roman"/>
          <w:sz w:val="20"/>
          <w:szCs w:val="24"/>
        </w:rPr>
      </w:pPr>
      <w:r>
        <w:rPr>
          <w:rFonts w:ascii="Times New Roman" w:hAnsi="Times New Roman" w:cs="Times New Roman"/>
          <w:sz w:val="20"/>
          <w:szCs w:val="24"/>
        </w:rPr>
        <w:t xml:space="preserve">Gunawan, H., &amp; Afriyanti, D. (2019). Potensi Perhutanan Sosial dalam Meningkatkan Partisipasi Masyarakat dalam Restorasi Gambut. </w:t>
      </w:r>
      <w:r>
        <w:rPr>
          <w:rFonts w:ascii="Times New Roman" w:hAnsi="Times New Roman" w:cs="Times New Roman"/>
          <w:i/>
          <w:iCs/>
          <w:sz w:val="20"/>
          <w:szCs w:val="24"/>
        </w:rPr>
        <w:t>Jurnal Ilmu Kehutanan</w:t>
      </w:r>
      <w:r>
        <w:rPr>
          <w:rFonts w:ascii="Times New Roman" w:hAnsi="Times New Roman" w:cs="Times New Roman"/>
          <w:sz w:val="20"/>
          <w:szCs w:val="24"/>
        </w:rPr>
        <w:t xml:space="preserve">, </w:t>
      </w:r>
      <w:r>
        <w:rPr>
          <w:rFonts w:ascii="Times New Roman" w:hAnsi="Times New Roman" w:cs="Times New Roman"/>
          <w:i/>
          <w:iCs/>
          <w:sz w:val="20"/>
          <w:szCs w:val="24"/>
        </w:rPr>
        <w:t>13</w:t>
      </w:r>
      <w:r>
        <w:rPr>
          <w:rFonts w:ascii="Times New Roman" w:hAnsi="Times New Roman" w:cs="Times New Roman"/>
          <w:sz w:val="20"/>
          <w:szCs w:val="24"/>
        </w:rPr>
        <w:t>(2), 227. https://doi.org/10.22146/jik.52442</w:t>
      </w:r>
    </w:p>
    <w:p w14:paraId="628F315B">
      <w:pPr>
        <w:widowControl w:val="0"/>
        <w:autoSpaceDE w:val="0"/>
        <w:autoSpaceDN w:val="0"/>
        <w:adjustRightInd w:val="0"/>
        <w:spacing w:line="240" w:lineRule="auto"/>
        <w:ind w:left="480" w:hanging="480"/>
        <w:jc w:val="both"/>
        <w:rPr>
          <w:rFonts w:ascii="Times New Roman" w:hAnsi="Times New Roman" w:cs="Times New Roman"/>
          <w:sz w:val="20"/>
          <w:szCs w:val="24"/>
        </w:rPr>
      </w:pPr>
      <w:r>
        <w:rPr>
          <w:rFonts w:ascii="Times New Roman" w:hAnsi="Times New Roman" w:cs="Times New Roman"/>
          <w:sz w:val="20"/>
          <w:szCs w:val="24"/>
        </w:rPr>
        <w:t xml:space="preserve">Istiqomah, Udiansyah, &amp; Hamdani Fauzi. (2021). Kinerja Kelembagaan Kelompok Tani Hutan Pemegang Izin Perhutanan Sosial di Wilayah Kelola Kesatuan Pengelolaan Hutan Kayutangi The Institutional Performance of Forest Farmer Groups Holding Social Forestry Permits in the Management Area of the Kayutangi Fo. </w:t>
      </w:r>
      <w:r>
        <w:rPr>
          <w:rFonts w:ascii="Times New Roman" w:hAnsi="Times New Roman" w:cs="Times New Roman"/>
          <w:i/>
          <w:iCs/>
          <w:sz w:val="20"/>
          <w:szCs w:val="24"/>
        </w:rPr>
        <w:t>Jurnal Sylva Scienteae</w:t>
      </w:r>
      <w:r>
        <w:rPr>
          <w:rFonts w:ascii="Times New Roman" w:hAnsi="Times New Roman" w:cs="Times New Roman"/>
          <w:sz w:val="20"/>
          <w:szCs w:val="24"/>
        </w:rPr>
        <w:t xml:space="preserve">, </w:t>
      </w:r>
      <w:r>
        <w:rPr>
          <w:rFonts w:ascii="Times New Roman" w:hAnsi="Times New Roman" w:cs="Times New Roman"/>
          <w:i/>
          <w:iCs/>
          <w:sz w:val="20"/>
          <w:szCs w:val="24"/>
        </w:rPr>
        <w:t>04</w:t>
      </w:r>
      <w:r>
        <w:rPr>
          <w:rFonts w:ascii="Times New Roman" w:hAnsi="Times New Roman" w:cs="Times New Roman"/>
          <w:sz w:val="20"/>
          <w:szCs w:val="24"/>
        </w:rPr>
        <w:t>(3), 440–451.</w:t>
      </w:r>
    </w:p>
    <w:p w14:paraId="2A656459">
      <w:pPr>
        <w:widowControl w:val="0"/>
        <w:autoSpaceDE w:val="0"/>
        <w:autoSpaceDN w:val="0"/>
        <w:adjustRightInd w:val="0"/>
        <w:spacing w:line="240" w:lineRule="auto"/>
        <w:ind w:left="480" w:hanging="480"/>
        <w:jc w:val="both"/>
        <w:rPr>
          <w:rFonts w:ascii="Times New Roman" w:hAnsi="Times New Roman" w:cs="Times New Roman"/>
          <w:sz w:val="20"/>
          <w:szCs w:val="24"/>
        </w:rPr>
      </w:pPr>
      <w:r>
        <w:rPr>
          <w:rFonts w:ascii="Times New Roman" w:hAnsi="Times New Roman" w:cs="Times New Roman"/>
          <w:sz w:val="20"/>
          <w:szCs w:val="24"/>
        </w:rPr>
        <w:t xml:space="preserve">Maysari, S. (2022). </w:t>
      </w:r>
      <w:r>
        <w:rPr>
          <w:rFonts w:ascii="Times New Roman" w:hAnsi="Times New Roman" w:cs="Times New Roman"/>
          <w:i/>
          <w:iCs/>
          <w:sz w:val="20"/>
          <w:szCs w:val="24"/>
        </w:rPr>
        <w:t>Skripsi Kinerja Pengelolaan Areal Hutan Desa (Hd) Libureng Di Kabupaten Barru</w:t>
      </w:r>
      <w:r>
        <w:rPr>
          <w:rFonts w:ascii="Times New Roman" w:hAnsi="Times New Roman" w:cs="Times New Roman"/>
          <w:sz w:val="20"/>
          <w:szCs w:val="24"/>
        </w:rPr>
        <w:t>.</w:t>
      </w:r>
    </w:p>
    <w:p w14:paraId="0EC78094">
      <w:pPr>
        <w:widowControl w:val="0"/>
        <w:autoSpaceDE w:val="0"/>
        <w:autoSpaceDN w:val="0"/>
        <w:adjustRightInd w:val="0"/>
        <w:spacing w:line="240" w:lineRule="auto"/>
        <w:ind w:left="480" w:hanging="480"/>
        <w:jc w:val="both"/>
        <w:rPr>
          <w:rFonts w:ascii="Times New Roman" w:hAnsi="Times New Roman" w:cs="Times New Roman"/>
          <w:sz w:val="20"/>
          <w:szCs w:val="24"/>
        </w:rPr>
      </w:pPr>
      <w:r>
        <w:rPr>
          <w:rFonts w:ascii="Times New Roman" w:hAnsi="Times New Roman" w:cs="Times New Roman"/>
          <w:sz w:val="20"/>
          <w:szCs w:val="24"/>
        </w:rPr>
        <w:t xml:space="preserve">Perencana, F., Madya, A., Pemantauan, D., Pembangunan, P., Kalimantan, B. W. S., Selor, V. T., Rt, J. B., &amp; Utara, K. (2022). </w:t>
      </w:r>
      <w:r>
        <w:rPr>
          <w:rFonts w:ascii="Times New Roman" w:hAnsi="Times New Roman" w:cs="Times New Roman"/>
          <w:i/>
          <w:iCs/>
          <w:sz w:val="20"/>
          <w:szCs w:val="24"/>
        </w:rPr>
        <w:t>Jurnal kebijakan pemerintahan</w:t>
      </w:r>
      <w:r>
        <w:rPr>
          <w:rFonts w:ascii="Times New Roman" w:hAnsi="Times New Roman" w:cs="Times New Roman"/>
          <w:sz w:val="20"/>
          <w:szCs w:val="24"/>
        </w:rPr>
        <w:t xml:space="preserve">. </w:t>
      </w:r>
      <w:r>
        <w:rPr>
          <w:rFonts w:ascii="Times New Roman" w:hAnsi="Times New Roman" w:cs="Times New Roman"/>
          <w:i/>
          <w:iCs/>
          <w:sz w:val="20"/>
          <w:szCs w:val="24"/>
        </w:rPr>
        <w:t>5</w:t>
      </w:r>
      <w:r>
        <w:rPr>
          <w:rFonts w:ascii="Times New Roman" w:hAnsi="Times New Roman" w:cs="Times New Roman"/>
          <w:sz w:val="20"/>
          <w:szCs w:val="24"/>
        </w:rPr>
        <w:t>(1), 20–28.</w:t>
      </w:r>
    </w:p>
    <w:p w14:paraId="169C63DE">
      <w:pPr>
        <w:widowControl w:val="0"/>
        <w:autoSpaceDE w:val="0"/>
        <w:autoSpaceDN w:val="0"/>
        <w:adjustRightInd w:val="0"/>
        <w:spacing w:line="240" w:lineRule="auto"/>
        <w:ind w:left="480" w:hanging="480"/>
        <w:jc w:val="both"/>
        <w:rPr>
          <w:rFonts w:ascii="Times New Roman" w:hAnsi="Times New Roman" w:cs="Times New Roman"/>
          <w:sz w:val="20"/>
          <w:szCs w:val="24"/>
        </w:rPr>
      </w:pPr>
      <w:r>
        <w:rPr>
          <w:rFonts w:ascii="Times New Roman" w:hAnsi="Times New Roman" w:cs="Times New Roman"/>
          <w:sz w:val="20"/>
          <w:szCs w:val="24"/>
        </w:rPr>
        <w:t xml:space="preserve">Rahayu, E. M., &amp; Triwanto, J. (2021). Penyuluhan Perhutanan Sosial Di Kelompok Tani Hutan Kota Malang. </w:t>
      </w:r>
      <w:r>
        <w:rPr>
          <w:rFonts w:ascii="Times New Roman" w:hAnsi="Times New Roman" w:cs="Times New Roman"/>
          <w:i/>
          <w:iCs/>
          <w:sz w:val="20"/>
          <w:szCs w:val="24"/>
        </w:rPr>
        <w:t>Budimas : Jurnal Pengabdian Masyarakat</w:t>
      </w:r>
      <w:r>
        <w:rPr>
          <w:rFonts w:ascii="Times New Roman" w:hAnsi="Times New Roman" w:cs="Times New Roman"/>
          <w:sz w:val="20"/>
          <w:szCs w:val="24"/>
        </w:rPr>
        <w:t xml:space="preserve">, </w:t>
      </w:r>
      <w:r>
        <w:rPr>
          <w:rFonts w:ascii="Times New Roman" w:hAnsi="Times New Roman" w:cs="Times New Roman"/>
          <w:i/>
          <w:iCs/>
          <w:sz w:val="20"/>
          <w:szCs w:val="24"/>
        </w:rPr>
        <w:t>3</w:t>
      </w:r>
      <w:r>
        <w:rPr>
          <w:rFonts w:ascii="Times New Roman" w:hAnsi="Times New Roman" w:cs="Times New Roman"/>
          <w:sz w:val="20"/>
          <w:szCs w:val="24"/>
        </w:rPr>
        <w:t>(2), 545–549. https://doi.org/10.29040/budimas.v3i2.3311</w:t>
      </w:r>
    </w:p>
    <w:p w14:paraId="08AFF4AC">
      <w:pPr>
        <w:widowControl w:val="0"/>
        <w:autoSpaceDE w:val="0"/>
        <w:autoSpaceDN w:val="0"/>
        <w:adjustRightInd w:val="0"/>
        <w:spacing w:line="240" w:lineRule="auto"/>
        <w:ind w:left="480" w:hanging="480"/>
        <w:jc w:val="both"/>
        <w:rPr>
          <w:rFonts w:ascii="Times New Roman" w:hAnsi="Times New Roman" w:cs="Times New Roman"/>
          <w:sz w:val="20"/>
          <w:szCs w:val="24"/>
        </w:rPr>
      </w:pPr>
      <w:r>
        <w:rPr>
          <w:rFonts w:ascii="Times New Roman" w:hAnsi="Times New Roman" w:cs="Times New Roman"/>
          <w:sz w:val="20"/>
          <w:szCs w:val="24"/>
        </w:rPr>
        <w:t xml:space="preserve">Ridwan, R., Junus, M., Mahbub, M. A. S., &amp; Windarti, R. P. (2018). Kinerja Kelompok Tani dalam Pengelolaan Hutan Tanaman Rakyat di Desa Bacu-Bacu Kabupaten Barru. </w:t>
      </w:r>
      <w:r>
        <w:rPr>
          <w:rFonts w:ascii="Times New Roman" w:hAnsi="Times New Roman" w:cs="Times New Roman"/>
          <w:i/>
          <w:iCs/>
          <w:sz w:val="20"/>
          <w:szCs w:val="24"/>
        </w:rPr>
        <w:t>Jurnal Hutan Dan Masyarakat</w:t>
      </w:r>
      <w:r>
        <w:rPr>
          <w:rFonts w:ascii="Times New Roman" w:hAnsi="Times New Roman" w:cs="Times New Roman"/>
          <w:sz w:val="20"/>
          <w:szCs w:val="24"/>
        </w:rPr>
        <w:t xml:space="preserve">, </w:t>
      </w:r>
      <w:r>
        <w:rPr>
          <w:rFonts w:ascii="Times New Roman" w:hAnsi="Times New Roman" w:cs="Times New Roman"/>
          <w:i/>
          <w:iCs/>
          <w:sz w:val="20"/>
          <w:szCs w:val="24"/>
        </w:rPr>
        <w:t>10</w:t>
      </w:r>
      <w:r>
        <w:rPr>
          <w:rFonts w:ascii="Times New Roman" w:hAnsi="Times New Roman" w:cs="Times New Roman"/>
          <w:sz w:val="20"/>
          <w:szCs w:val="24"/>
        </w:rPr>
        <w:t>(2), 231. https://doi.org/10.24259/jhm.v10i2.4108</w:t>
      </w:r>
    </w:p>
    <w:p w14:paraId="614A26BA">
      <w:pPr>
        <w:widowControl w:val="0"/>
        <w:autoSpaceDE w:val="0"/>
        <w:autoSpaceDN w:val="0"/>
        <w:adjustRightInd w:val="0"/>
        <w:spacing w:line="240" w:lineRule="auto"/>
        <w:ind w:left="480" w:hanging="480"/>
        <w:jc w:val="both"/>
        <w:rPr>
          <w:rFonts w:ascii="Times New Roman" w:hAnsi="Times New Roman" w:cs="Times New Roman"/>
          <w:sz w:val="20"/>
          <w:szCs w:val="24"/>
        </w:rPr>
      </w:pPr>
      <w:r>
        <w:rPr>
          <w:rFonts w:ascii="Times New Roman" w:hAnsi="Times New Roman" w:cs="Times New Roman"/>
          <w:sz w:val="20"/>
          <w:szCs w:val="24"/>
        </w:rPr>
        <w:t xml:space="preserve">Sumanto, S. E. (2009). Kebijakan pengembangan perhutanan sosial dalam perspektif resolusi konflik. </w:t>
      </w:r>
      <w:r>
        <w:rPr>
          <w:rFonts w:ascii="Times New Roman" w:hAnsi="Times New Roman" w:cs="Times New Roman"/>
          <w:i/>
          <w:iCs/>
          <w:sz w:val="20"/>
          <w:szCs w:val="24"/>
        </w:rPr>
        <w:t>Jurnal Analisis Kebijakan Kehutanan</w:t>
      </w:r>
      <w:r>
        <w:rPr>
          <w:rFonts w:ascii="Times New Roman" w:hAnsi="Times New Roman" w:cs="Times New Roman"/>
          <w:sz w:val="20"/>
          <w:szCs w:val="24"/>
        </w:rPr>
        <w:t xml:space="preserve">, </w:t>
      </w:r>
      <w:r>
        <w:rPr>
          <w:rFonts w:ascii="Times New Roman" w:hAnsi="Times New Roman" w:cs="Times New Roman"/>
          <w:i/>
          <w:iCs/>
          <w:sz w:val="20"/>
          <w:szCs w:val="24"/>
        </w:rPr>
        <w:t>6</w:t>
      </w:r>
      <w:r>
        <w:rPr>
          <w:rFonts w:ascii="Times New Roman" w:hAnsi="Times New Roman" w:cs="Times New Roman"/>
          <w:sz w:val="20"/>
          <w:szCs w:val="24"/>
        </w:rPr>
        <w:t>(1), 13–25.</w:t>
      </w:r>
    </w:p>
    <w:p w14:paraId="6CD44137">
      <w:pPr>
        <w:spacing w:after="0" w:line="240" w:lineRule="auto"/>
        <w:ind w:left="720" w:hanging="720"/>
        <w:jc w:val="both"/>
        <w:rPr>
          <w:rFonts w:ascii="Times New Roman" w:hAnsi="Times New Roman" w:cs="Times New Roman"/>
          <w:lang w:val="sv-SE"/>
        </w:rPr>
      </w:pPr>
      <w:r>
        <w:rPr>
          <w:rFonts w:ascii="Times New Roman" w:hAnsi="Times New Roman" w:cs="Times New Roman"/>
        </w:rPr>
        <w:t xml:space="preserve">Sagita, M. N., Akhbar, &amp; Muis, H. (2019). Partisipasi petani dalam pengelolaan hutan kemasyarakatan di Desa Labuan Toposo Kecamatan Labuan Kabupaten Donggala. </w:t>
      </w:r>
      <w:r>
        <w:rPr>
          <w:rFonts w:ascii="Times New Roman" w:hAnsi="Times New Roman" w:cs="Times New Roman"/>
          <w:lang w:val="sv-SE"/>
        </w:rPr>
        <w:t>Jurnal Warta Rimba, 7(2), 1–10.</w:t>
      </w:r>
    </w:p>
    <w:p w14:paraId="25D6DC15">
      <w:pPr>
        <w:spacing w:after="0" w:line="240" w:lineRule="auto"/>
        <w:ind w:left="720" w:hanging="720"/>
        <w:jc w:val="both"/>
        <w:rPr>
          <w:rFonts w:ascii="Times New Roman" w:hAnsi="Times New Roman" w:cs="Times New Roman"/>
          <w:lang w:val="sv-SE"/>
        </w:rPr>
      </w:pPr>
      <w:r>
        <w:rPr>
          <w:rFonts w:ascii="Times New Roman" w:hAnsi="Times New Roman" w:cs="Times New Roman"/>
          <w:lang w:val="sv-SE"/>
        </w:rPr>
        <w:t>Sugiyono. 2018</w:t>
      </w:r>
      <w:r>
        <w:rPr>
          <w:rFonts w:ascii="Times New Roman" w:hAnsi="Times New Roman" w:cs="Times New Roman"/>
          <w:i/>
          <w:iCs/>
          <w:lang w:val="sv-SE"/>
        </w:rPr>
        <w:t>. Metode Penelitian Kuantitatif, Kualitatif, dan R&amp;D</w:t>
      </w:r>
      <w:r>
        <w:rPr>
          <w:rFonts w:ascii="Times New Roman" w:hAnsi="Times New Roman" w:cs="Times New Roman"/>
          <w:lang w:val="sv-SE"/>
        </w:rPr>
        <w:t>. Buku. Alfabeta. Bandung. 334 hlm</w:t>
      </w:r>
    </w:p>
    <w:p w14:paraId="3EC5EA45">
      <w:pPr>
        <w:spacing w:after="0" w:line="240" w:lineRule="auto"/>
        <w:ind w:left="720" w:hanging="720"/>
        <w:jc w:val="both"/>
        <w:rPr>
          <w:rFonts w:ascii="Times New Roman" w:hAnsi="Times New Roman" w:cs="Times New Roman"/>
        </w:rPr>
      </w:pPr>
      <w:r>
        <w:rPr>
          <w:rFonts w:ascii="Times New Roman" w:hAnsi="Times New Roman" w:cs="Times New Roman"/>
        </w:rPr>
        <w:t xml:space="preserve">Sunanto, A., Rahmawati, D., &amp; Haryanto, B. (2019). </w:t>
      </w:r>
      <w:r>
        <w:rPr>
          <w:rFonts w:ascii="Times New Roman" w:hAnsi="Times New Roman" w:cs="Times New Roman"/>
          <w:i/>
          <w:iCs/>
        </w:rPr>
        <w:t>Pengaruh Tingkat Pendidikan terhadap Peningkatan Produktivitas Petani: Studi Kasus pada Usaha Tani Padi</w:t>
      </w:r>
      <w:r>
        <w:rPr>
          <w:rFonts w:ascii="Times New Roman" w:hAnsi="Times New Roman" w:cs="Times New Roman"/>
        </w:rPr>
        <w:t>. Penerbit Pertanian Indonesia.</w:t>
      </w:r>
    </w:p>
    <w:p w14:paraId="49B92E56">
      <w:pPr>
        <w:spacing w:after="0" w:line="240" w:lineRule="auto"/>
        <w:ind w:left="720" w:hanging="720"/>
        <w:jc w:val="both"/>
        <w:rPr>
          <w:rFonts w:ascii="Times New Roman" w:hAnsi="Times New Roman" w:cs="Times New Roman"/>
          <w:lang w:val="sv-SE"/>
        </w:rPr>
      </w:pPr>
      <w:r>
        <w:rPr>
          <w:rFonts w:ascii="Times New Roman" w:hAnsi="Times New Roman" w:cs="Times New Roman"/>
        </w:rPr>
        <w:t xml:space="preserve">Susanti, R., Wijaya, T., &amp; Kusuma, P. (2016). Tingkat pendidikan petani dan dampaknya terhadap produktivitas usaha tani: Pendekatan kuantitatif di sektor pertanian. </w:t>
      </w:r>
      <w:r>
        <w:rPr>
          <w:rFonts w:ascii="Times New Roman" w:hAnsi="Times New Roman" w:cs="Times New Roman"/>
          <w:i/>
          <w:iCs/>
        </w:rPr>
        <w:t>Jurnal Agribisnis dan Ekonomi Pertanian</w:t>
      </w:r>
      <w:r>
        <w:rPr>
          <w:rFonts w:ascii="Times New Roman" w:hAnsi="Times New Roman" w:cs="Times New Roman"/>
        </w:rPr>
        <w:t>, 12(4), 211-225.</w:t>
      </w:r>
    </w:p>
    <w:p w14:paraId="603367D7">
      <w:pPr>
        <w:spacing w:after="0" w:line="240" w:lineRule="auto"/>
        <w:ind w:left="720" w:hanging="720"/>
        <w:jc w:val="both"/>
        <w:rPr>
          <w:rFonts w:ascii="Times New Roman" w:hAnsi="Times New Roman" w:cs="Times New Roman"/>
        </w:rPr>
      </w:pPr>
      <w:r>
        <w:rPr>
          <w:rFonts w:ascii="Times New Roman" w:hAnsi="Times New Roman" w:cs="Times New Roman"/>
        </w:rPr>
        <w:t xml:space="preserve">Tahir, A. (2018). Hubungan antara usia dan produktivitas pekerja: Studi pada sektor manufaktur. </w:t>
      </w:r>
      <w:r>
        <w:rPr>
          <w:rFonts w:ascii="Times New Roman" w:hAnsi="Times New Roman" w:cs="Times New Roman"/>
          <w:i/>
          <w:iCs/>
        </w:rPr>
        <w:t>Jurnal Ekonomi dan Bisnis Indonesia</w:t>
      </w:r>
      <w:r>
        <w:rPr>
          <w:rFonts w:ascii="Times New Roman" w:hAnsi="Times New Roman" w:cs="Times New Roman"/>
        </w:rPr>
        <w:t>, 25(3), 145-160.</w:t>
      </w:r>
    </w:p>
    <w:p w14:paraId="2F2391B3">
      <w:pPr>
        <w:spacing w:after="0" w:line="240" w:lineRule="auto"/>
        <w:ind w:left="720" w:hanging="720"/>
        <w:jc w:val="both"/>
        <w:rPr>
          <w:rFonts w:ascii="Times New Roman" w:hAnsi="Times New Roman" w:cs="Times New Roman"/>
        </w:rPr>
      </w:pPr>
      <w:r>
        <w:rPr>
          <w:rFonts w:ascii="Times New Roman" w:hAnsi="Times New Roman" w:cs="Times New Roman"/>
        </w:rPr>
        <w:t xml:space="preserve">Tuyuwale, A. (2016). Dinamika kelompok dan efektivitas tugas dalam organisasi. Dalam Makawekes, N. (Ed.), </w:t>
      </w:r>
      <w:r>
        <w:rPr>
          <w:rFonts w:ascii="Times New Roman" w:hAnsi="Times New Roman" w:cs="Times New Roman"/>
          <w:i/>
          <w:iCs/>
        </w:rPr>
        <w:t>Dinamika Kelompok dan Pembagian Tugas</w:t>
      </w:r>
      <w:r>
        <w:rPr>
          <w:rFonts w:ascii="Times New Roman" w:hAnsi="Times New Roman" w:cs="Times New Roman"/>
        </w:rPr>
        <w:t xml:space="preserve"> (hlm. 45-58). </w:t>
      </w:r>
    </w:p>
    <w:p w14:paraId="02995DC4">
      <w:pPr>
        <w:spacing w:after="0" w:line="240" w:lineRule="auto"/>
        <w:ind w:left="720" w:hanging="720"/>
        <w:jc w:val="both"/>
        <w:rPr>
          <w:rFonts w:ascii="Times New Roman" w:hAnsi="Times New Roman" w:cs="Times New Roman"/>
        </w:rPr>
      </w:pPr>
      <w:r>
        <w:rPr>
          <w:rFonts w:ascii="Times New Roman" w:hAnsi="Times New Roman" w:cs="Times New Roman"/>
        </w:rPr>
        <w:t xml:space="preserve">Triambodo, S., &amp; Damanik, J. 2015. </w:t>
      </w:r>
      <w:r>
        <w:rPr>
          <w:rFonts w:ascii="Times New Roman" w:hAnsi="Times New Roman" w:cs="Times New Roman"/>
          <w:i/>
          <w:iCs/>
        </w:rPr>
        <w:t>Analisis strategi penguatan kelembagaan Desa Wisata Berbasis Ekonomi Kreatif</w:t>
      </w:r>
      <w:r>
        <w:rPr>
          <w:rFonts w:ascii="Times New Roman" w:hAnsi="Times New Roman" w:cs="Times New Roman"/>
        </w:rPr>
        <w:t xml:space="preserve"> ( Studi di Desa Wisata Kerajinan Tenun Dusun Gamplong, Desa Sumberrahayu, Kecamatan Moyudan, Kabupaten Sleman, DIY) Universitas Gadjah Mada, Yogyakarta.</w:t>
      </w:r>
    </w:p>
    <w:p w14:paraId="50AEE498">
      <w:pPr>
        <w:spacing w:after="0" w:line="240" w:lineRule="auto"/>
        <w:ind w:left="720" w:hanging="720"/>
        <w:jc w:val="both"/>
        <w:rPr>
          <w:rFonts w:ascii="Times New Roman" w:hAnsi="Times New Roman" w:cs="Times New Roman"/>
          <w:lang w:val="en-US"/>
        </w:rPr>
      </w:pPr>
      <w:r>
        <w:rPr>
          <w:rFonts w:ascii="Times New Roman" w:hAnsi="Times New Roman" w:cs="Times New Roman"/>
        </w:rPr>
        <w:t>Yeny, I., Karlina, E., Suharti, S., Murniati, Subarudi, ... &amp; Nurlia, A. Gunawan, H.,  (2022). Integrating Social Forestry and Biodiversity Conservation in Indonesia. Forests, 13(12), 2152. https://doi.org/10.3390/f13122152.</w:t>
      </w:r>
    </w:p>
    <w:p w14:paraId="6084847E">
      <w:pPr>
        <w:spacing w:after="0" w:line="240" w:lineRule="auto"/>
        <w:ind w:left="720" w:hanging="720"/>
        <w:jc w:val="both"/>
        <w:rPr>
          <w:rFonts w:ascii="Times New Roman" w:hAnsi="Times New Roman" w:cs="Times New Roman"/>
        </w:rPr>
      </w:pPr>
      <w:r>
        <w:rPr>
          <w:rFonts w:ascii="Times New Roman" w:hAnsi="Times New Roman" w:cs="Times New Roman"/>
          <w:lang w:val="en-US"/>
        </w:rPr>
        <w:t xml:space="preserve">Wulandari, C., and Inoue, M. 2018. </w:t>
      </w:r>
      <w:r>
        <w:rPr>
          <w:rFonts w:ascii="Times New Roman" w:hAnsi="Times New Roman" w:cs="Times New Roman"/>
        </w:rPr>
        <w:t xml:space="preserve">The Importance of Social Learning for the Development of Community Based Forest Management in Indonesia: The Case of Community Forestry in Lampung Province. </w:t>
      </w:r>
      <w:r>
        <w:rPr>
          <w:rFonts w:ascii="Times New Roman" w:hAnsi="Times New Roman" w:cs="Times New Roman"/>
          <w:i/>
        </w:rPr>
        <w:t>Small-scale Forestry</w:t>
      </w:r>
      <w:r>
        <w:rPr>
          <w:rFonts w:ascii="Times New Roman" w:hAnsi="Times New Roman" w:cs="Times New Roman"/>
        </w:rPr>
        <w:t xml:space="preserve"> 17(3): 361–376. DOI: 10.1007/s11842-018-9392-7</w:t>
      </w:r>
    </w:p>
    <w:p w14:paraId="56288DC9">
      <w:pPr>
        <w:widowControl w:val="0"/>
        <w:autoSpaceDE w:val="0"/>
        <w:autoSpaceDN w:val="0"/>
        <w:adjustRightInd w:val="0"/>
        <w:spacing w:line="240" w:lineRule="auto"/>
        <w:ind w:left="480" w:hanging="480"/>
        <w:jc w:val="both"/>
        <w:rPr>
          <w:rFonts w:ascii="Times New Roman" w:hAnsi="Times New Roman" w:cs="Times New Roman"/>
          <w:sz w:val="20"/>
        </w:rPr>
      </w:pPr>
    </w:p>
    <w:p w14:paraId="6EC83D2A">
      <w:pPr>
        <w:jc w:val="both"/>
        <w:rPr>
          <w:rFonts w:ascii="Times New Roman" w:hAnsi="Times New Roman" w:cs="Times New Roman"/>
          <w:sz w:val="20"/>
          <w:szCs w:val="20"/>
        </w:rPr>
      </w:pPr>
      <w:r>
        <w:rPr>
          <w:rFonts w:ascii="Times New Roman" w:hAnsi="Times New Roman" w:cs="Times New Roman"/>
          <w:sz w:val="20"/>
          <w:szCs w:val="20"/>
        </w:rPr>
        <w:fldChar w:fldCharType="end"/>
      </w:r>
    </w:p>
    <w:sectPr>
      <w:type w:val="continuous"/>
      <w:pgSz w:w="11906" w:h="16838"/>
      <w:pgMar w:top="1440" w:right="1440" w:bottom="1440" w:left="1440" w:header="708" w:footer="708" w:gutter="0"/>
      <w:cols w:space="708" w:num="2"/>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E7143"/>
    <w:multiLevelType w:val="multilevel"/>
    <w:tmpl w:val="65BE7143"/>
    <w:lvl w:ilvl="0" w:tentative="0">
      <w:start w:val="1"/>
      <w:numFmt w:val="decimal"/>
      <w:lvlText w:val="%1."/>
      <w:lvlJc w:val="left"/>
      <w:pPr>
        <w:ind w:left="720" w:hanging="360"/>
      </w:pPr>
    </w:lvl>
    <w:lvl w:ilvl="1" w:tentative="0">
      <w:start w:val="1"/>
      <w:numFmt w:val="lowerLetter"/>
      <w:lvlText w:val="%2."/>
      <w:lvlJc w:val="left"/>
      <w:pPr>
        <w:ind w:left="1440" w:hanging="360"/>
      </w:pPr>
      <w:rPr>
        <w:rFonts w:hint="default"/>
      </w:rPr>
    </w:lvl>
    <w:lvl w:ilvl="2" w:tentative="0">
      <w:start w:val="1"/>
      <w:numFmt w:val="bullet"/>
      <w:lvlText w:val="-"/>
      <w:lvlJc w:val="left"/>
      <w:pPr>
        <w:ind w:left="2340" w:hanging="360"/>
      </w:pPr>
      <w:rPr>
        <w:rFonts w:hint="default" w:ascii="Times New Roman" w:hAnsi="Times New Roman" w:cs="Times New Roman" w:eastAsiaTheme="minorHAnsi"/>
        <w:i w:val="0"/>
      </w:rPr>
    </w:lvl>
    <w:lvl w:ilvl="3" w:tentative="0">
      <w:start w:val="1"/>
      <w:numFmt w:val="decimal"/>
      <w:lvlText w:val="%4."/>
      <w:lvlJc w:val="left"/>
      <w:pPr>
        <w:ind w:left="2880" w:hanging="360"/>
      </w:pPr>
      <w:rPr>
        <w:rFonts w:ascii="Times New Roman" w:hAnsi="Times New Roman" w:cs="Times New Roman" w:eastAsiaTheme="minorHAnsi"/>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DA81C30"/>
    <w:multiLevelType w:val="multilevel"/>
    <w:tmpl w:val="6DA81C3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B7D3F41"/>
    <w:multiLevelType w:val="multilevel"/>
    <w:tmpl w:val="7B7D3F41"/>
    <w:lvl w:ilvl="0" w:tentative="0">
      <w:start w:val="1"/>
      <w:numFmt w:val="decimal"/>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BED"/>
    <w:rsid w:val="00083246"/>
    <w:rsid w:val="000B7E11"/>
    <w:rsid w:val="00103240"/>
    <w:rsid w:val="00135117"/>
    <w:rsid w:val="001563DD"/>
    <w:rsid w:val="00185A25"/>
    <w:rsid w:val="001D4A5B"/>
    <w:rsid w:val="0020710F"/>
    <w:rsid w:val="002B33C6"/>
    <w:rsid w:val="002F49A9"/>
    <w:rsid w:val="002F4B12"/>
    <w:rsid w:val="00326DE9"/>
    <w:rsid w:val="00351D21"/>
    <w:rsid w:val="00383F16"/>
    <w:rsid w:val="003C0B83"/>
    <w:rsid w:val="003D18A9"/>
    <w:rsid w:val="004477B0"/>
    <w:rsid w:val="004718FE"/>
    <w:rsid w:val="00494043"/>
    <w:rsid w:val="004B7117"/>
    <w:rsid w:val="004D099E"/>
    <w:rsid w:val="004F46BD"/>
    <w:rsid w:val="00535625"/>
    <w:rsid w:val="005B6D5F"/>
    <w:rsid w:val="005C34FD"/>
    <w:rsid w:val="00601E2F"/>
    <w:rsid w:val="006125F0"/>
    <w:rsid w:val="00636BFE"/>
    <w:rsid w:val="00647F8F"/>
    <w:rsid w:val="00653CBE"/>
    <w:rsid w:val="006A3A54"/>
    <w:rsid w:val="006B6F82"/>
    <w:rsid w:val="00766C48"/>
    <w:rsid w:val="008017BE"/>
    <w:rsid w:val="00844F62"/>
    <w:rsid w:val="00886263"/>
    <w:rsid w:val="00896006"/>
    <w:rsid w:val="009556C3"/>
    <w:rsid w:val="009C1088"/>
    <w:rsid w:val="00A0068D"/>
    <w:rsid w:val="00A90EBD"/>
    <w:rsid w:val="00AF72CC"/>
    <w:rsid w:val="00B27016"/>
    <w:rsid w:val="00B65350"/>
    <w:rsid w:val="00B762A3"/>
    <w:rsid w:val="00BB54E6"/>
    <w:rsid w:val="00C13718"/>
    <w:rsid w:val="00C31F1B"/>
    <w:rsid w:val="00C5099E"/>
    <w:rsid w:val="00C52AA8"/>
    <w:rsid w:val="00C70AEE"/>
    <w:rsid w:val="00C82330"/>
    <w:rsid w:val="00CE18E9"/>
    <w:rsid w:val="00CE3AF3"/>
    <w:rsid w:val="00D75433"/>
    <w:rsid w:val="00D95F3E"/>
    <w:rsid w:val="00DB1782"/>
    <w:rsid w:val="00DB52AE"/>
    <w:rsid w:val="00DC6CA8"/>
    <w:rsid w:val="00E60862"/>
    <w:rsid w:val="00E87BED"/>
    <w:rsid w:val="00EA1405"/>
    <w:rsid w:val="00EA4C4F"/>
    <w:rsid w:val="00EA546E"/>
    <w:rsid w:val="00EC192E"/>
    <w:rsid w:val="00ED1ACB"/>
    <w:rsid w:val="00ED3865"/>
    <w:rsid w:val="00ED3DE2"/>
    <w:rsid w:val="00F027AA"/>
    <w:rsid w:val="00F22A06"/>
    <w:rsid w:val="00F43DCE"/>
    <w:rsid w:val="00F5168F"/>
    <w:rsid w:val="00F67D66"/>
    <w:rsid w:val="00FF3955"/>
    <w:rsid w:val="7EBE6EBF"/>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eastAsia="SimSun" w:asciiTheme="minorHAnsi" w:hAnsiTheme="minorHAnsi" w:cstheme="minorBidi"/>
      <w:kern w:val="0"/>
      <w:sz w:val="22"/>
      <w:szCs w:val="22"/>
      <w:lang w:val="id-ID" w:eastAsia="en-US" w:bidi="ar-SA"/>
      <w14:ligatures w14:val="none"/>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2"/>
    <w:basedOn w:val="1"/>
    <w:link w:val="12"/>
    <w:unhideWhenUsed/>
    <w:qFormat/>
    <w:uiPriority w:val="99"/>
    <w:pPr>
      <w:shd w:val="clear" w:color="auto" w:fill="FFFFFF"/>
      <w:spacing w:after="0" w:line="240" w:lineRule="auto"/>
    </w:pPr>
    <w:rPr>
      <w:rFonts w:ascii="Times New Roman" w:hAnsi="Times New Roman" w:eastAsia="Times New Roman" w:cs="Times New Roman"/>
      <w:lang w:val="zh-CN" w:eastAsia="zh-CN"/>
    </w:rPr>
  </w:style>
  <w:style w:type="character" w:styleId="5">
    <w:name w:val="annotation reference"/>
    <w:basedOn w:val="2"/>
    <w:semiHidden/>
    <w:unhideWhenUsed/>
    <w:qFormat/>
    <w:uiPriority w:val="99"/>
    <w:rPr>
      <w:sz w:val="16"/>
      <w:szCs w:val="16"/>
    </w:rPr>
  </w:style>
  <w:style w:type="paragraph" w:styleId="6">
    <w:name w:val="annotation text"/>
    <w:basedOn w:val="1"/>
    <w:link w:val="13"/>
    <w:unhideWhenUsed/>
    <w:qFormat/>
    <w:uiPriority w:val="99"/>
    <w:pPr>
      <w:spacing w:line="240" w:lineRule="auto"/>
    </w:pPr>
    <w:rPr>
      <w:sz w:val="20"/>
      <w:szCs w:val="20"/>
    </w:rPr>
  </w:style>
  <w:style w:type="character" w:styleId="7">
    <w:name w:val="Hyperlink"/>
    <w:basedOn w:val="2"/>
    <w:unhideWhenUsed/>
    <w:qFormat/>
    <w:uiPriority w:val="99"/>
    <w:rPr>
      <w:color w:val="0563C1" w:themeColor="hyperlink"/>
      <w:u w:val="single"/>
      <w14:textFill>
        <w14:solidFill>
          <w14:schemeClr w14:val="hlink"/>
        </w14:solidFill>
      </w14:textFill>
    </w:rPr>
  </w:style>
  <w:style w:type="character" w:customStyle="1" w:styleId="8">
    <w:name w:val="Unresolved Mention"/>
    <w:basedOn w:val="2"/>
    <w:semiHidden/>
    <w:unhideWhenUsed/>
    <w:qFormat/>
    <w:uiPriority w:val="99"/>
    <w:rPr>
      <w:color w:val="605E5C"/>
      <w:shd w:val="clear" w:color="auto" w:fill="E1DFDD"/>
    </w:rPr>
  </w:style>
  <w:style w:type="paragraph" w:styleId="9">
    <w:name w:val="List Paragraph"/>
    <w:basedOn w:val="1"/>
    <w:link w:val="10"/>
    <w:qFormat/>
    <w:uiPriority w:val="1"/>
    <w:pPr>
      <w:ind w:left="720"/>
      <w:contextualSpacing/>
    </w:pPr>
    <w:rPr>
      <w:kern w:val="2"/>
      <w:lang w:val="zh-CN"/>
      <w14:ligatures w14:val="standardContextual"/>
    </w:rPr>
  </w:style>
  <w:style w:type="character" w:customStyle="1" w:styleId="10">
    <w:name w:val="List Paragraph Char"/>
    <w:basedOn w:val="2"/>
    <w:link w:val="9"/>
    <w:qFormat/>
    <w:locked/>
    <w:uiPriority w:val="34"/>
    <w:rPr>
      <w:rFonts w:eastAsia="SimSun"/>
      <w:lang w:val="zh-CN"/>
    </w:rPr>
  </w:style>
  <w:style w:type="table" w:customStyle="1" w:styleId="11">
    <w:name w:val="List Table 6 Colorful1"/>
    <w:basedOn w:val="3"/>
    <w:qFormat/>
    <w:uiPriority w:val="51"/>
    <w:pPr>
      <w:spacing w:after="0" w:line="240" w:lineRule="auto"/>
    </w:pPr>
    <w:rPr>
      <w:rFonts w:eastAsia="SimSun"/>
      <w:color w:val="000000" w:themeColor="text1"/>
      <w:kern w:val="0"/>
      <w:sz w:val="20"/>
      <w:szCs w:val="20"/>
      <w:lang w:val="en-US"/>
      <w14:textFill>
        <w14:solidFill>
          <w14:schemeClr w14:val="tx1"/>
        </w14:solidFill>
      </w14:textFill>
      <w14:ligatures w14:val="none"/>
    </w:rPr>
    <w:tblPr>
      <w:tblBorders>
        <w:top w:val="single" w:color="000000" w:themeColor="text1" w:sz="4" w:space="0"/>
        <w:bottom w:val="single" w:color="000000" w:themeColor="text1" w:sz="4" w:space="0"/>
      </w:tblBorders>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character" w:customStyle="1" w:styleId="12">
    <w:name w:val="Body Text 2 Char"/>
    <w:basedOn w:val="2"/>
    <w:link w:val="4"/>
    <w:qFormat/>
    <w:uiPriority w:val="99"/>
    <w:rPr>
      <w:rFonts w:ascii="Times New Roman" w:hAnsi="Times New Roman" w:eastAsia="Times New Roman" w:cs="Times New Roman"/>
      <w:kern w:val="0"/>
      <w:shd w:val="clear" w:color="auto" w:fill="FFFFFF"/>
      <w:lang w:val="zh-CN" w:eastAsia="zh-CN"/>
      <w14:ligatures w14:val="none"/>
    </w:rPr>
  </w:style>
  <w:style w:type="character" w:customStyle="1" w:styleId="13">
    <w:name w:val="Comment Text Char"/>
    <w:basedOn w:val="2"/>
    <w:link w:val="6"/>
    <w:qFormat/>
    <w:uiPriority w:val="99"/>
    <w:rPr>
      <w:rFonts w:eastAsia="SimSun"/>
      <w:kern w:val="0"/>
      <w:sz w:val="20"/>
      <w:szCs w:val="20"/>
      <w:lang w:val="id-ID"/>
      <w14:ligatures w14: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chart" Target="charts/chart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grase\Downloads\Jurnal%20mersi\Exel%20Baru%20Mersy(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cap="none" spc="20" baseline="0">
                <a:solidFill>
                  <a:sysClr val="windowText" lastClr="000000"/>
                </a:solidFill>
                <a:latin typeface="+mn-lt"/>
                <a:ea typeface="+mn-ea"/>
                <a:cs typeface="+mn-cs"/>
              </a:defRPr>
            </a:pPr>
            <a:r>
              <a:rPr lang="en-US">
                <a:solidFill>
                  <a:sysClr val="windowText" lastClr="000000"/>
                </a:solidFill>
              </a:rPr>
              <a:t>KRITERIA PENILAIAN</a:t>
            </a:r>
            <a:endParaRPr lang="en-US">
              <a:solidFill>
                <a:sysClr val="windowText" lastClr="000000"/>
              </a:solidFill>
            </a:endParaRPr>
          </a:p>
        </c:rich>
      </c:tx>
      <c:layout/>
      <c:overlay val="0"/>
      <c:spPr>
        <a:noFill/>
        <a:ln>
          <a:noFill/>
        </a:ln>
        <a:effectLst/>
      </c:spPr>
    </c:title>
    <c:autoTitleDeleted val="0"/>
    <c:plotArea>
      <c:layout/>
      <c:barChart>
        <c:barDir val="col"/>
        <c:grouping val="clustered"/>
        <c:varyColors val="0"/>
        <c:ser>
          <c:idx val="0"/>
          <c:order val="0"/>
          <c:spPr>
            <a:pattFill prst="diagBrick">
              <a:fgClr>
                <a:schemeClr val="accent1">
                  <a:lumMod val="75000"/>
                </a:schemeClr>
              </a:fgClr>
              <a:bgClr>
                <a:schemeClr val="accent1">
                  <a:lumMod val="40000"/>
                  <a:lumOff val="60000"/>
                </a:schemeClr>
              </a:bgClr>
            </a:pattFill>
            <a:ln w="9525" cap="flat" cmpd="sng" algn="ctr">
              <a:solidFill>
                <a:schemeClr val="accent6">
                  <a:shade val="95000"/>
                </a:schemeClr>
              </a:solidFill>
              <a:round/>
            </a:ln>
            <a:effectLst/>
          </c:spPr>
          <c:invertIfNegative val="0"/>
          <c:dLbls>
            <c:dLbl>
              <c:idx val="0"/>
              <c:layout/>
              <c:tx>
                <c:rich>
                  <a:bodyPr rot="0" spcFirstLastPara="1" vertOverflow="ellipsis" vert="horz" wrap="square" lIns="38100" tIns="19050" rIns="38100" bIns="19050" anchor="ctr" anchorCtr="1"/>
                  <a:lstStyle/>
                  <a:p>
                    <a:fld id="{6277b92e-83e0-4368-9272-747246762de9}" type="VALUE">
                      <a:t>[VALUE]</a:t>
                    </a:fld>
                    <a:endParaRPr lang="en-US" b="0" i="0" u="none" strike="noStrike" baseline="0">
                      <a:latin typeface="Times New Roman" panose="02020603050405020304" charset="0"/>
                      <a:ea typeface="Times New Roman" panose="02020603050405020304" charset="0"/>
                      <a:cs typeface="+mn-ea"/>
                    </a:endParaRP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1" vertOverflow="ellipsis" vert="horz" wrap="square" lIns="38100" tIns="19050" rIns="38100" bIns="19050" anchor="ctr" anchorCtr="1"/>
                  <a:lstStyle/>
                  <a:p>
                    <a:fld id="{ada1084b-425e-4841-951c-2e8eeaf76d99}" type="VALUE">
                      <a:t>[VALUE]</a:t>
                    </a:fld>
                    <a:endParaRPr lang="en-US" b="0" i="0" u="none" strike="noStrike" baseline="0">
                      <a:latin typeface="Times New Roman" panose="02020603050405020304" charset="0"/>
                      <a:ea typeface="Times New Roman" panose="02020603050405020304" charset="0"/>
                      <a:cs typeface="+mn-ea"/>
                    </a:endParaRPr>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1" vertOverflow="ellipsis" vert="horz" wrap="square" lIns="38100" tIns="19050" rIns="38100" bIns="19050" anchor="ctr" anchorCtr="1"/>
                  <a:lstStyle/>
                  <a:p>
                    <a:fld id="{23926567-2c5e-4739-b352-f942c404b58f}" type="VALUE">
                      <a:t>[VALUE]</a:t>
                    </a:fld>
                    <a:endParaRPr lang="en-US" b="0" i="0" u="none" strike="noStrike" baseline="0">
                      <a:latin typeface="Times New Roman" panose="02020603050405020304" charset="0"/>
                      <a:ea typeface="Times New Roman" panose="02020603050405020304" charset="0"/>
                      <a:cs typeface="+mn-ea"/>
                    </a:endParaRP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en-US" sz="910" b="0" i="0" u="none" strike="noStrike" kern="1200" baseline="0">
                    <a:solidFill>
                      <a:sysClr val="windowText" lastClr="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Sheet1!$C$61:$C$63</c:f>
              <c:strCache>
                <c:ptCount val="3"/>
                <c:pt idx="0">
                  <c:v>Administrasi dan kelembagaan</c:v>
                </c:pt>
                <c:pt idx="1">
                  <c:v>Aktivitas kelompok</c:v>
                </c:pt>
                <c:pt idx="2">
                  <c:v>Pelaporan</c:v>
                </c:pt>
              </c:strCache>
            </c:strRef>
          </c:cat>
          <c:val>
            <c:numRef>
              <c:f>Sheet1!$D$61:$D$63</c:f>
              <c:numCache>
                <c:formatCode>0.00</c:formatCode>
                <c:ptCount val="3"/>
                <c:pt idx="0">
                  <c:v>44.75</c:v>
                </c:pt>
                <c:pt idx="1">
                  <c:v>46.5</c:v>
                </c:pt>
                <c:pt idx="2">
                  <c:v>36.5</c:v>
                </c:pt>
              </c:numCache>
            </c:numRef>
          </c:val>
        </c:ser>
        <c:dLbls>
          <c:showLegendKey val="0"/>
          <c:showVal val="1"/>
          <c:showCatName val="0"/>
          <c:showSerName val="0"/>
          <c:showPercent val="0"/>
          <c:showBubbleSize val="0"/>
        </c:dLbls>
        <c:gapWidth val="150"/>
        <c:axId val="1633808463"/>
        <c:axId val="1633819503"/>
      </c:barChart>
      <c:catAx>
        <c:axId val="163380846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ysClr val="windowText" lastClr="000000"/>
                </a:solidFill>
                <a:latin typeface="+mn-lt"/>
                <a:ea typeface="+mn-ea"/>
                <a:cs typeface="+mn-cs"/>
              </a:defRPr>
            </a:pPr>
          </a:p>
        </c:txPr>
        <c:crossAx val="1633819503"/>
        <c:crosses val="autoZero"/>
        <c:auto val="1"/>
        <c:lblAlgn val="ctr"/>
        <c:lblOffset val="100"/>
        <c:noMultiLvlLbl val="0"/>
      </c:catAx>
      <c:valAx>
        <c:axId val="1633819503"/>
        <c:scaling>
          <c:orientation val="minMax"/>
        </c:scaling>
        <c:delete val="1"/>
        <c:axPos val="l"/>
        <c:numFmt formatCode="0.00" sourceLinked="1"/>
        <c:majorTickMark val="none"/>
        <c:minorTickMark val="none"/>
        <c:tickLblPos val="nextTo"/>
        <c:txPr>
          <a:bodyPr rot="-60000000" spcFirstLastPara="0" vertOverflow="ellipsis" vert="horz" wrap="square" anchor="ctr" anchorCtr="1"/>
          <a:lstStyle/>
          <a:p>
            <a:pPr>
              <a:defRPr lang="en-US" sz="900" b="0" i="0" u="none" strike="noStrike" kern="1200" baseline="0">
                <a:solidFill>
                  <a:schemeClr val="tx1">
                    <a:lumMod val="50000"/>
                    <a:lumOff val="50000"/>
                  </a:schemeClr>
                </a:solidFill>
                <a:latin typeface="+mn-lt"/>
                <a:ea typeface="+mn-ea"/>
                <a:cs typeface="+mn-cs"/>
              </a:defRPr>
            </a:pPr>
          </a:p>
        </c:txPr>
        <c:crossAx val="1633808463"/>
        <c:crosses val="autoZero"/>
        <c:crossBetween val="between"/>
      </c:valAx>
      <c:spPr>
        <a:noFill/>
        <a:ln>
          <a:noFill/>
        </a:ln>
        <a:effectLst/>
      </c:spPr>
    </c:plotArea>
    <c:plotVisOnly val="1"/>
    <c:dispBlanksAs val="gap"/>
    <c:showDLblsOverMax val="0"/>
    <c:extLst>
      <c:ext uri="{0b15fc19-7d7d-44ad-8c2d-2c3a37ce22c3}">
        <chartProps xmlns="https://web.wps.cn/et/2018/main" chartId="{0e72d33f-2d56-466c-b2fb-5c43a3c1882b}"/>
      </c:ext>
    </c:extLst>
  </c:chart>
  <c:spPr>
    <a:noFill/>
    <a:ln w="9525" cap="flat" cmpd="sng" algn="ctr">
      <a:solidFill>
        <a:schemeClr val="tx1">
          <a:lumMod val="15000"/>
          <a:lumOff val="85000"/>
        </a:schemeClr>
      </a:solidFill>
      <a:round/>
    </a:ln>
    <a:effectLst/>
  </c:spPr>
  <c:txPr>
    <a:bodyPr/>
    <a:lstStyle/>
    <a:p>
      <a:pPr>
        <a:defRPr lang="en-US"/>
      </a:pPr>
    </a:p>
  </c:txPr>
  <c:externalData r:id="rId1">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9">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Boy21</b:Tag>
    <b:SourceType>JournalArticle</b:SourceType>
    <b:Guid>{F57B7A31-E73D-46D8-9E35-7E13557F0B35}</b:Guid>
    <b:Author>
      <b:Author>
        <b:NameList>
          <b:Person>
            <b:Last>Boyke Wijaya</b:Last>
            <b:First>Hamdani</b:First>
            <b:Middle>Fauzi, dan Hafizianor</b:Middle>
          </b:Person>
        </b:NameList>
      </b:Author>
    </b:Author>
    <b:Title>KINERJA KELEMBAGAAN KELOMPOK TANI HUTAN KEMASYARAKATAN DI KABUPATEN TANAH LAUT Intitution Performance Of Community Forest Farmer Groups in Tanah Laut Regency</b:Title>
    <b:Year>2021</b:Year>
    <b:Publisher>Jurnal Sylva Scienteae</b:Publisher>
    <b:JournalName>Jurnal Sylva Scienteae</b:JournalName>
    <b:Pages>Vol. 03 No. 1 ISSN 2622-8963</b:Pages>
    <b:RefOrder>1</b:RefOrder>
  </b:Source>
</b:Sources>
</file>

<file path=customXml/itemProps1.xml><?xml version="1.0" encoding="utf-8"?>
<ds:datastoreItem xmlns:ds="http://schemas.openxmlformats.org/officeDocument/2006/customXml" ds:itemID="{7B663C5B-D5D0-4026-8CCC-D336EA9585A5}">
  <ds:schemaRefs/>
</ds:datastoreItem>
</file>

<file path=docProps/app.xml><?xml version="1.0" encoding="utf-8"?>
<Properties xmlns="http://schemas.openxmlformats.org/officeDocument/2006/extended-properties" xmlns:vt="http://schemas.openxmlformats.org/officeDocument/2006/docPropsVTypes">
  <Template>Normal</Template>
  <Pages>11</Pages>
  <Words>5848</Words>
  <Characters>33340</Characters>
  <Lines>277</Lines>
  <Paragraphs>78</Paragraphs>
  <TotalTime>14</TotalTime>
  <ScaleCrop>false</ScaleCrop>
  <LinksUpToDate>false</LinksUpToDate>
  <CharactersWithSpaces>39110</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2025-01-21T11:41:00Z</dcterms:created>
  <dc:creator>yanti kaimudin</dc:creator>
  <cp:lastModifiedBy>ACER</cp:lastModifiedBy>
  <cp:lastPrinted>2024-12-11T11:58:00Z</cp:lastPrinted>
  <dcterms:modified xsi:type="dcterms:W3CDTF">2025-01-22T04:48:04Z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da58cb35-fc2a-3624-92ee-da1ac892f452</vt:lpwstr>
  </property>
  <property fmtid="{D5CDD505-2E9C-101B-9397-08002B2CF9AE}" pid="24" name="Mendeley Citation Style_1">
    <vt:lpwstr>http://www.zotero.org/styles/apa</vt:lpwstr>
  </property>
  <property fmtid="{D5CDD505-2E9C-101B-9397-08002B2CF9AE}" pid="25" name="KSOProductBuildVer">
    <vt:lpwstr>1033-12.2.0.19805</vt:lpwstr>
  </property>
  <property fmtid="{D5CDD505-2E9C-101B-9397-08002B2CF9AE}" pid="26" name="ICV">
    <vt:lpwstr>862FB5D5B74542E8AAA9820DFB2DF31A_12</vt:lpwstr>
  </property>
</Properties>
</file>