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CDD70" w14:textId="77777777" w:rsidR="00B50122" w:rsidRDefault="00B50122" w:rsidP="00B50122">
      <w:pPr>
        <w:pStyle w:val="ListParagraph"/>
        <w:numPr>
          <w:ilvl w:val="0"/>
          <w:numId w:val="11"/>
        </w:numPr>
        <w:spacing w:after="160" w:line="259" w:lineRule="auto"/>
        <w:ind w:left="284" w:hanging="295"/>
        <w:jc w:val="left"/>
        <w:rPr>
          <w:rFonts w:eastAsia="MS Mincho"/>
          <w:b/>
          <w:bCs/>
          <w:szCs w:val="22"/>
          <w:lang w:val="id-ID"/>
        </w:rPr>
      </w:pPr>
      <w:bookmarkStart w:id="0" w:name="_Hlk206787925"/>
      <w:bookmarkEnd w:id="0"/>
      <w:r w:rsidRPr="00567F44">
        <w:rPr>
          <w:rFonts w:eastAsia="MS Mincho"/>
          <w:b/>
          <w:bCs/>
          <w:szCs w:val="22"/>
          <w:lang w:val="id-ID"/>
        </w:rPr>
        <w:t>Judul Naskah</w:t>
      </w:r>
    </w:p>
    <w:p w14:paraId="1D72C273" w14:textId="7C43C1D8" w:rsidR="00445319" w:rsidRPr="00445319" w:rsidRDefault="00D60703" w:rsidP="00445319">
      <w:pPr>
        <w:spacing w:after="160" w:line="259" w:lineRule="auto"/>
        <w:ind w:left="-11"/>
        <w:jc w:val="left"/>
        <w:rPr>
          <w:rFonts w:eastAsia="MS Mincho"/>
          <w:b/>
          <w:bCs/>
          <w:szCs w:val="22"/>
          <w:lang w:val="id-ID"/>
        </w:rPr>
      </w:pPr>
      <w:r w:rsidRPr="00D60703">
        <w:rPr>
          <w:rFonts w:eastAsia="MS Mincho"/>
          <w:b/>
          <w:bCs/>
          <w:noProof/>
          <w:sz w:val="28"/>
          <w:szCs w:val="48"/>
          <w:lang w:val="id-ID"/>
        </w:rPr>
        <w:t>The Effect of the Comparison of Zeolite and Limestone on the Degree of Acidity (pH) of Acid Mine Drainage (Case Study: PT. XYZ)</w:t>
      </w:r>
    </w:p>
    <w:p w14:paraId="03A7CF95" w14:textId="4E848CEB" w:rsidR="00B50122" w:rsidRPr="00567F44" w:rsidRDefault="00956219" w:rsidP="00B50122">
      <w:pPr>
        <w:spacing w:after="160" w:line="259" w:lineRule="auto"/>
        <w:jc w:val="left"/>
        <w:rPr>
          <w:rFonts w:eastAsia="MS Mincho"/>
          <w:sz w:val="22"/>
          <w:szCs w:val="22"/>
          <w:lang w:val="id-ID"/>
        </w:rPr>
      </w:pPr>
      <w:r>
        <w:rPr>
          <w:rFonts w:eastAsia="MS Mincho"/>
          <w:sz w:val="22"/>
          <w:szCs w:val="22"/>
          <w:lang w:val="id-ID"/>
        </w:rPr>
        <w:t>Karim Kasmudin</w:t>
      </w:r>
      <w:r w:rsidRPr="00956219">
        <w:rPr>
          <w:rFonts w:eastAsia="MS Mincho"/>
          <w:sz w:val="22"/>
          <w:szCs w:val="22"/>
          <w:vertAlign w:val="superscript"/>
          <w:lang w:val="id-ID"/>
        </w:rPr>
        <w:t>1</w:t>
      </w:r>
      <w:r w:rsidR="00B50122" w:rsidRPr="00956219">
        <w:rPr>
          <w:rFonts w:eastAsia="MS Mincho"/>
          <w:sz w:val="22"/>
          <w:szCs w:val="22"/>
          <w:vertAlign w:val="superscript"/>
          <w:lang w:val="id-ID"/>
        </w:rPr>
        <w:t>*</w:t>
      </w:r>
      <w:r w:rsidR="00B50122" w:rsidRPr="00567F44">
        <w:rPr>
          <w:rFonts w:eastAsia="MS Mincho"/>
          <w:sz w:val="22"/>
          <w:szCs w:val="22"/>
          <w:lang w:val="id-ID"/>
        </w:rPr>
        <w:t xml:space="preserve">, </w:t>
      </w:r>
      <w:r>
        <w:rPr>
          <w:rFonts w:eastAsia="MS Mincho"/>
          <w:sz w:val="22"/>
          <w:szCs w:val="22"/>
          <w:lang w:val="id-ID"/>
        </w:rPr>
        <w:t>Fitria</w:t>
      </w:r>
      <w:r w:rsidRPr="00956219">
        <w:rPr>
          <w:rFonts w:eastAsia="MS Mincho"/>
          <w:sz w:val="22"/>
          <w:szCs w:val="22"/>
          <w:vertAlign w:val="superscript"/>
          <w:lang w:val="id-ID"/>
        </w:rPr>
        <w:t>2</w:t>
      </w:r>
    </w:p>
    <w:p w14:paraId="57D33BF4" w14:textId="77777777" w:rsidR="00B50122" w:rsidRPr="00567F44" w:rsidRDefault="00B50122" w:rsidP="00445319">
      <w:pPr>
        <w:spacing w:after="160" w:line="259" w:lineRule="auto"/>
        <w:ind w:right="561"/>
        <w:jc w:val="both"/>
        <w:rPr>
          <w:rFonts w:eastAsia="MS Mincho"/>
          <w:sz w:val="22"/>
          <w:szCs w:val="22"/>
          <w:lang w:val="id-ID"/>
        </w:rPr>
      </w:pPr>
      <w:r w:rsidRPr="00567F44">
        <w:rPr>
          <w:rFonts w:eastAsia="MS Mincho"/>
          <w:sz w:val="22"/>
          <w:szCs w:val="22"/>
          <w:lang w:val="id-ID"/>
        </w:rPr>
        <w:t>Naskah mencantumkan penulis pertama dan co-author. Nama penulis ditulis tanpa gelar akademik atau pangkat jabatan. Penulis korespondensi (corresponding author) harus ditandai dengan jelas, karena ia bertanggung jawab atas seluruh proses komunikasi selama tahap prapublikasi dan pascapublikasi. Semua penulis harus dicantumkan lengkap (nama lengkap, afiliasi, email, dan ID Scopus/ORCID bila ada).</w:t>
      </w:r>
    </w:p>
    <w:p w14:paraId="5DAFDBA7"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Data Penulis</w:t>
      </w:r>
    </w:p>
    <w:p w14:paraId="3E8A719B"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II. Penulis Pertama:</w:t>
      </w:r>
    </w:p>
    <w:p w14:paraId="60351C47" w14:textId="15BD52D4"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Nama</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956219">
        <w:rPr>
          <w:rFonts w:eastAsia="MS Mincho"/>
          <w:szCs w:val="22"/>
          <w:lang w:val="id-ID"/>
        </w:rPr>
        <w:t>Karim Kasmudin</w:t>
      </w:r>
    </w:p>
    <w:p w14:paraId="708AA8E1" w14:textId="2E3DEB66"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Afiliasi</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956219">
        <w:rPr>
          <w:rFonts w:eastAsia="MS Mincho"/>
          <w:szCs w:val="22"/>
          <w:lang w:val="id-ID"/>
        </w:rPr>
        <w:t>Sekolah Tinggi Teknologi Industri Bontang</w:t>
      </w:r>
    </w:p>
    <w:p w14:paraId="127DBED2" w14:textId="5A8B7D65"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 xml:space="preserve"> Email</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956219">
        <w:rPr>
          <w:rFonts w:eastAsia="MS Mincho"/>
          <w:szCs w:val="22"/>
          <w:lang w:val="id-ID"/>
        </w:rPr>
        <w:t>kasmudinkarim@gmail.com</w:t>
      </w:r>
    </w:p>
    <w:p w14:paraId="24F3F9BD"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III. Penulis Kedua:</w:t>
      </w:r>
    </w:p>
    <w:p w14:paraId="3EC0906A" w14:textId="1431CF17"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Nama</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956219">
        <w:rPr>
          <w:rFonts w:eastAsia="MS Mincho"/>
          <w:szCs w:val="22"/>
          <w:lang w:val="id-ID"/>
        </w:rPr>
        <w:t>Fitria</w:t>
      </w:r>
    </w:p>
    <w:p w14:paraId="7C711AA8" w14:textId="03334E46"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Afiliasi</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956219">
        <w:rPr>
          <w:rFonts w:eastAsia="MS Mincho"/>
          <w:szCs w:val="22"/>
          <w:lang w:val="id-ID"/>
        </w:rPr>
        <w:t>Sekolah Tinggi Teknologi Industri Bontang</w:t>
      </w:r>
    </w:p>
    <w:p w14:paraId="289DEEED" w14:textId="6DF8AE33" w:rsidR="00B50122" w:rsidRPr="00956219" w:rsidRDefault="00B50122" w:rsidP="00956219">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 xml:space="preserve"> Email</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956219" w:rsidRPr="00956219">
        <w:rPr>
          <w:rFonts w:eastAsia="MS Mincho"/>
          <w:szCs w:val="22"/>
          <w:lang w:val="id-ID"/>
        </w:rPr>
        <w:t>sttibfitria@gmail.com</w:t>
      </w:r>
    </w:p>
    <w:p w14:paraId="14C6BBAA" w14:textId="77777777" w:rsidR="00B50122" w:rsidRDefault="00B50122" w:rsidP="00B50122">
      <w:pPr>
        <w:spacing w:after="160" w:line="259" w:lineRule="auto"/>
        <w:jc w:val="both"/>
        <w:rPr>
          <w:rFonts w:eastAsia="MS Mincho"/>
          <w:b/>
          <w:bCs/>
          <w:noProof/>
          <w:sz w:val="28"/>
          <w:szCs w:val="48"/>
          <w:lang w:val="id-ID"/>
        </w:rPr>
      </w:pPr>
      <w:r>
        <w:rPr>
          <w:rFonts w:eastAsia="MS Mincho"/>
          <w:lang w:val="id-ID"/>
        </w:rPr>
        <w:br w:type="page"/>
      </w:r>
    </w:p>
    <w:p w14:paraId="4453B89D" w14:textId="167C8CBA" w:rsidR="00DA48EF" w:rsidRDefault="00D60703" w:rsidP="00DA48EF">
      <w:pPr>
        <w:pStyle w:val="JudulJurnal"/>
        <w:rPr>
          <w:rFonts w:eastAsia="MS Mincho"/>
          <w:lang w:val="id-ID"/>
        </w:rPr>
      </w:pPr>
      <w:r w:rsidRPr="00D60703">
        <w:rPr>
          <w:rFonts w:eastAsia="MS Mincho"/>
          <w:lang w:val="id-ID"/>
        </w:rPr>
        <w:lastRenderedPageBreak/>
        <w:t>The Effect of the Comparison of Zeolite and Limestone on the Degree of Acidity (pH) of Acid Mine Drainage (Case Study: PT. XYZ)</w:t>
      </w:r>
    </w:p>
    <w:p w14:paraId="0E2B6C61" w14:textId="77777777" w:rsidR="00D60703" w:rsidRPr="00034DB4" w:rsidRDefault="00D60703" w:rsidP="00DA48EF">
      <w:pPr>
        <w:pStyle w:val="JudulJurnal"/>
        <w:rPr>
          <w:rFonts w:eastAsia="MS Mincho"/>
          <w:color w:val="4472C4" w:themeColor="accent1"/>
          <w:sz w:val="24"/>
          <w:szCs w:val="44"/>
          <w:lang w:val="id-ID"/>
        </w:rPr>
      </w:pPr>
    </w:p>
    <w:p w14:paraId="29E873DA" w14:textId="4E1EF54D" w:rsidR="00DA48EF" w:rsidRPr="00266F2A" w:rsidRDefault="00C55B05" w:rsidP="00DA48EF">
      <w:pPr>
        <w:pStyle w:val="JudulJurnal"/>
        <w:rPr>
          <w:rFonts w:eastAsia="MS Mincho"/>
          <w:color w:val="4472C4" w:themeColor="accent1"/>
          <w:sz w:val="24"/>
          <w:szCs w:val="44"/>
          <w:lang w:val="id-ID"/>
        </w:rPr>
      </w:pPr>
      <w:r w:rsidRPr="00C55B05">
        <w:rPr>
          <w:rFonts w:eastAsia="MS Mincho"/>
          <w:sz w:val="24"/>
          <w:szCs w:val="44"/>
          <w:lang w:val="id-ID"/>
        </w:rPr>
        <w:t>Karim Kasmudin</w:t>
      </w:r>
      <w:r w:rsidRPr="00C55B05">
        <w:rPr>
          <w:rFonts w:eastAsia="MS Mincho"/>
          <w:sz w:val="24"/>
          <w:szCs w:val="44"/>
          <w:vertAlign w:val="superscript"/>
          <w:lang w:val="id-ID"/>
        </w:rPr>
        <w:t>1</w:t>
      </w:r>
      <w:r w:rsidR="00956219">
        <w:rPr>
          <w:rFonts w:eastAsia="MS Mincho"/>
          <w:sz w:val="24"/>
          <w:szCs w:val="44"/>
          <w:vertAlign w:val="superscript"/>
          <w:lang w:val="id-ID"/>
        </w:rPr>
        <w:t>*</w:t>
      </w:r>
      <w:r w:rsidRPr="00C55B05">
        <w:rPr>
          <w:rFonts w:eastAsia="MS Mincho"/>
          <w:sz w:val="24"/>
          <w:szCs w:val="44"/>
          <w:lang w:val="id-ID"/>
        </w:rPr>
        <w:t>, Fitria Fitria</w:t>
      </w:r>
      <w:r w:rsidRPr="00C55B05">
        <w:rPr>
          <w:rFonts w:eastAsia="MS Mincho"/>
          <w:sz w:val="24"/>
          <w:szCs w:val="44"/>
          <w:vertAlign w:val="superscript"/>
          <w:lang w:val="id-ID"/>
        </w:rPr>
        <w:t>2</w:t>
      </w:r>
    </w:p>
    <w:p w14:paraId="55B138ED" w14:textId="0CE55C3B" w:rsidR="00DA48EF" w:rsidRPr="00D01E64" w:rsidRDefault="00DA48EF" w:rsidP="00DA48EF">
      <w:pPr>
        <w:pStyle w:val="Affiliation"/>
        <w:rPr>
          <w:rFonts w:eastAsia="MS Mincho"/>
          <w:lang w:val="id-ID"/>
        </w:rPr>
      </w:pPr>
      <w:r w:rsidRPr="00D01E64">
        <w:rPr>
          <w:rFonts w:eastAsia="MS Mincho"/>
          <w:vertAlign w:val="superscript"/>
          <w:lang w:val="id-ID"/>
        </w:rPr>
        <w:t>1</w:t>
      </w:r>
      <w:r w:rsidR="00956219">
        <w:rPr>
          <w:rFonts w:eastAsia="MS Mincho"/>
          <w:vertAlign w:val="superscript"/>
          <w:lang w:val="id-ID"/>
        </w:rPr>
        <w:t>*</w:t>
      </w:r>
      <w:r w:rsidRPr="00D01E64">
        <w:rPr>
          <w:rFonts w:eastAsia="MS Mincho"/>
          <w:vertAlign w:val="superscript"/>
          <w:lang w:val="id-ID"/>
        </w:rPr>
        <w:t>)</w:t>
      </w:r>
      <w:r>
        <w:rPr>
          <w:rFonts w:eastAsia="MS Mincho"/>
          <w:vertAlign w:val="superscript"/>
        </w:rPr>
        <w:t xml:space="preserve"> </w:t>
      </w:r>
      <w:r w:rsidR="00D60703" w:rsidRPr="00D60703">
        <w:rPr>
          <w:rFonts w:eastAsia="MS Mincho"/>
        </w:rPr>
        <w:t>Chemical Engineering Study Program, Bontang Industrial Technology College, Indonesia</w:t>
      </w:r>
    </w:p>
    <w:p w14:paraId="0AE1C7EC" w14:textId="3120F3AF" w:rsidR="00DA48EF" w:rsidRPr="00D01E64" w:rsidRDefault="00DA48EF" w:rsidP="00DA48EF">
      <w:pPr>
        <w:pStyle w:val="Affiliation"/>
        <w:rPr>
          <w:rFonts w:eastAsia="MS Mincho"/>
          <w:lang w:val="id-ID"/>
        </w:rPr>
      </w:pPr>
      <w:r w:rsidRPr="00D01E64">
        <w:rPr>
          <w:rFonts w:eastAsia="MS Mincho"/>
          <w:vertAlign w:val="superscript"/>
          <w:lang w:val="id-ID"/>
        </w:rPr>
        <w:t>2)</w:t>
      </w:r>
      <w:r w:rsidRPr="00D01E64">
        <w:rPr>
          <w:rFonts w:eastAsia="MS Mincho"/>
          <w:lang w:val="id-ID"/>
        </w:rPr>
        <w:t xml:space="preserve"> </w:t>
      </w:r>
      <w:r w:rsidR="00D60703" w:rsidRPr="00D60703">
        <w:rPr>
          <w:rFonts w:eastAsia="MS Mincho"/>
        </w:rPr>
        <w:t>2Chemical Engineering Study Program, Bontang Industrial Technology College, Indonesia</w:t>
      </w:r>
    </w:p>
    <w:p w14:paraId="31305FD1" w14:textId="42442E33" w:rsidR="00C55B05" w:rsidRPr="00445319" w:rsidRDefault="00DA48EF" w:rsidP="00DA48EF">
      <w:pPr>
        <w:pStyle w:val="Affiliation"/>
        <w:rPr>
          <w:rFonts w:eastAsia="MS Mincho"/>
          <w:color w:val="4472C4" w:themeColor="accent1"/>
          <w:lang w:val="id-ID"/>
        </w:rPr>
      </w:pPr>
      <w:r w:rsidRPr="00D01E64">
        <w:rPr>
          <w:rFonts w:eastAsia="MS Mincho"/>
          <w:lang w:val="id-ID"/>
        </w:rPr>
        <w:t>E-</w:t>
      </w:r>
      <w:r>
        <w:rPr>
          <w:rFonts w:eastAsia="MS Mincho"/>
        </w:rPr>
        <w:t>m</w:t>
      </w:r>
      <w:r w:rsidRPr="00D01E64">
        <w:rPr>
          <w:rFonts w:eastAsia="MS Mincho"/>
          <w:lang w:val="id-ID"/>
        </w:rPr>
        <w:t xml:space="preserve">ail: </w:t>
      </w:r>
      <w:r w:rsidR="00445319">
        <w:fldChar w:fldCharType="begin"/>
      </w:r>
      <w:r w:rsidR="00445319">
        <w:instrText>HYPERLINK "mailto:kasmudinkarim@gmail.com*"</w:instrText>
      </w:r>
      <w:r w:rsidR="00445319">
        <w:fldChar w:fldCharType="separate"/>
      </w:r>
      <w:r w:rsidR="00445319" w:rsidRPr="00445319">
        <w:rPr>
          <w:rStyle w:val="Hyperlink"/>
          <w:rFonts w:eastAsia="MS Mincho"/>
          <w:color w:val="4472C4" w:themeColor="accent1"/>
          <w:lang w:val="id-ID"/>
        </w:rPr>
        <w:t>kasmudinkarim@gmail.com</w:t>
      </w:r>
      <w:r w:rsidR="00445319" w:rsidRPr="00445319">
        <w:rPr>
          <w:rStyle w:val="Hyperlink"/>
          <w:rFonts w:eastAsia="MS Mincho"/>
          <w:color w:val="4472C4" w:themeColor="accent1"/>
          <w:vertAlign w:val="superscript"/>
          <w:lang w:val="id-ID"/>
        </w:rPr>
        <w:t>*</w:t>
      </w:r>
      <w:r w:rsidR="00445319">
        <w:fldChar w:fldCharType="end"/>
      </w:r>
      <w:r w:rsidR="00445319" w:rsidRPr="00445319">
        <w:rPr>
          <w:rFonts w:eastAsia="MS Mincho"/>
          <w:color w:val="4472C4" w:themeColor="accent1"/>
          <w:lang w:val="id-ID"/>
        </w:rPr>
        <w:t>, sttibfitria@gmail.com</w:t>
      </w:r>
    </w:p>
    <w:p w14:paraId="3F975032" w14:textId="77777777" w:rsidR="00DA48EF" w:rsidRDefault="00DA48EF" w:rsidP="00DA48EF">
      <w:pPr>
        <w:pStyle w:val="Affiliation"/>
        <w:jc w:val="both"/>
        <w:rPr>
          <w:rFonts w:eastAsia="MS Mincho"/>
          <w:color w:val="4472C4" w:themeColor="accent1"/>
        </w:rPr>
      </w:pPr>
    </w:p>
    <w:p w14:paraId="3B14F0A6" w14:textId="77777777" w:rsidR="00C55B05" w:rsidRPr="00D01E64" w:rsidRDefault="00C55B05" w:rsidP="00DA48EF">
      <w:pPr>
        <w:pStyle w:val="Affiliation"/>
        <w:jc w:val="both"/>
        <w:rPr>
          <w:rFonts w:eastAsia="MS Mincho"/>
          <w:lang w:val="id-ID"/>
        </w:rPr>
      </w:pPr>
    </w:p>
    <w:p w14:paraId="2AEC5DBD" w14:textId="77777777" w:rsidR="00DA48EF" w:rsidRPr="00D01E64" w:rsidRDefault="00DA48EF" w:rsidP="00DA48EF">
      <w:pPr>
        <w:pStyle w:val="Affiliation"/>
        <w:ind w:left="720" w:right="723"/>
        <w:rPr>
          <w:rFonts w:eastAsia="MS Mincho"/>
          <w:b/>
          <w:lang w:val="id-ID"/>
        </w:rPr>
      </w:pPr>
      <w:r w:rsidRPr="00D01E64">
        <w:rPr>
          <w:rFonts w:eastAsia="MS Mincho"/>
          <w:b/>
          <w:lang w:val="id-ID"/>
        </w:rPr>
        <w:t xml:space="preserve">ABSTRAK </w:t>
      </w:r>
    </w:p>
    <w:p w14:paraId="48D4F1C1" w14:textId="77777777" w:rsidR="00DA48EF" w:rsidRPr="00D01E64" w:rsidRDefault="00DA48EF" w:rsidP="00DA48EF">
      <w:pPr>
        <w:pStyle w:val="Affiliation"/>
        <w:ind w:left="720" w:right="723"/>
        <w:rPr>
          <w:rFonts w:eastAsia="MS Mincho"/>
          <w:b/>
          <w:lang w:val="id-ID"/>
        </w:rPr>
      </w:pPr>
    </w:p>
    <w:p w14:paraId="5F081FD7" w14:textId="36EDF264" w:rsidR="00DA48EF" w:rsidRDefault="00C55B05" w:rsidP="00DA48EF">
      <w:pPr>
        <w:pStyle w:val="KataKunci"/>
        <w:ind w:left="720" w:right="723" w:firstLine="0"/>
        <w:rPr>
          <w:bCs w:val="0"/>
          <w:iCs w:val="0"/>
          <w:noProof w:val="0"/>
          <w:szCs w:val="20"/>
          <w:lang w:val="id-ID"/>
        </w:rPr>
      </w:pPr>
      <w:r w:rsidRPr="00C55B05">
        <w:rPr>
          <w:bCs w:val="0"/>
          <w:iCs w:val="0"/>
          <w:noProof w:val="0"/>
          <w:szCs w:val="20"/>
          <w:lang w:val="id-ID"/>
        </w:rPr>
        <w:t xml:space="preserve">Air Asam Tambang (AAT) merupakan salah satu permasalahan lingkungan serius dalam industri pertambangan batubara, ditandai dengan pH rendah dan konsentrasi logam berat terlarut yang tinggi. Penelitian ini bertujuan untuk menganalisis pengaruh perbandingan massa antara zeolit alam dan limestone (batu kapur) sebagai media netralisasi dan adsorben dalam pengolahan AAT dari PT. XYZ. Metode penelitian yang digunakan adalah eksperimen batch di laboratorium dengan lima variasi perbandingan massa zeolit dan limestone (100:0, 75:25, 50:50, 25:75, dan 0:100) dengan total massa media 10 gram per 500 mL sampel AAT. Parameter yang diukur adalah perubahan pH selama waktu kontak 90 menit. Hasil penelitian menunjukkan bahwa semua variasi mampu menaikkan pH AAT dari nilai awal </w:t>
      </w:r>
      <w:r w:rsidR="00246487">
        <w:rPr>
          <w:bCs w:val="0"/>
          <w:iCs w:val="0"/>
          <w:noProof w:val="0"/>
          <w:szCs w:val="20"/>
          <w:lang w:val="id-ID"/>
        </w:rPr>
        <w:t>2,6</w:t>
      </w:r>
      <w:r w:rsidRPr="00C55B05">
        <w:rPr>
          <w:bCs w:val="0"/>
          <w:iCs w:val="0"/>
          <w:noProof w:val="0"/>
          <w:szCs w:val="20"/>
          <w:lang w:val="id-ID"/>
        </w:rPr>
        <w:t xml:space="preserve">. Perbandingan 25:75 (zeolit:limestone) menunjukkan efektivitas paling optimal, mampu menaikkan pH hingga </w:t>
      </w:r>
      <w:r>
        <w:rPr>
          <w:bCs w:val="0"/>
          <w:iCs w:val="0"/>
          <w:noProof w:val="0"/>
          <w:szCs w:val="20"/>
          <w:lang w:val="id-ID"/>
        </w:rPr>
        <w:t>8,3</w:t>
      </w:r>
      <w:r w:rsidRPr="00C55B05">
        <w:rPr>
          <w:bCs w:val="0"/>
          <w:iCs w:val="0"/>
          <w:noProof w:val="0"/>
          <w:szCs w:val="20"/>
          <w:lang w:val="id-ID"/>
        </w:rPr>
        <w:t xml:space="preserve"> dalam waktu 60 menit dan tetap stabil. Limestone berperan dominan dalam netralisasi asam, sementara kehadiran zeolit diduga mencegah efek </w:t>
      </w:r>
      <w:r w:rsidRPr="00C55B05">
        <w:rPr>
          <w:bCs w:val="0"/>
          <w:i/>
          <w:noProof w:val="0"/>
          <w:szCs w:val="20"/>
          <w:lang w:val="id-ID"/>
        </w:rPr>
        <w:t>armoring</w:t>
      </w:r>
      <w:r w:rsidRPr="00C55B05">
        <w:rPr>
          <w:bCs w:val="0"/>
          <w:iCs w:val="0"/>
          <w:noProof w:val="0"/>
          <w:szCs w:val="20"/>
          <w:lang w:val="id-ID"/>
        </w:rPr>
        <w:t xml:space="preserve"> (pelapisan) pada partikel limestone dan turut menyerap ion logam yang ada. Kombinasi ini terbukti lebih efektif dibandingkan penggunaan masing-masing bahan secara tunggal. Disimpulkan bahwa perbandingan massa 25:75 merupakan rasio optimal untuk pengolahan AAT pada studi kasus ini.</w:t>
      </w:r>
    </w:p>
    <w:p w14:paraId="4D5099C4" w14:textId="77777777" w:rsidR="00C55B05" w:rsidRPr="00D01E64" w:rsidRDefault="00C55B05" w:rsidP="00DA48EF">
      <w:pPr>
        <w:pStyle w:val="KataKunci"/>
        <w:ind w:left="720" w:right="723" w:firstLine="0"/>
        <w:rPr>
          <w:rFonts w:eastAsia="MS Mincho"/>
          <w:lang w:val="id-ID"/>
        </w:rPr>
      </w:pPr>
    </w:p>
    <w:p w14:paraId="55BA5CF6" w14:textId="48B3F7D2" w:rsidR="00DA48EF" w:rsidRPr="00D01E64" w:rsidRDefault="00DA48EF" w:rsidP="00DA48EF">
      <w:pPr>
        <w:pStyle w:val="KataKunci"/>
        <w:ind w:left="720" w:right="723" w:firstLine="0"/>
        <w:rPr>
          <w:rFonts w:eastAsia="MS Mincho"/>
          <w:lang w:val="id-ID"/>
        </w:rPr>
      </w:pPr>
      <w:r w:rsidRPr="00D01E64">
        <w:rPr>
          <w:rFonts w:eastAsia="MS Mincho"/>
          <w:lang w:val="id-ID"/>
        </w:rPr>
        <w:t>Kata Kunci</w:t>
      </w:r>
      <w:r>
        <w:rPr>
          <w:rFonts w:eastAsia="MS Mincho"/>
        </w:rPr>
        <w:t>:</w:t>
      </w:r>
      <w:r w:rsidRPr="00D01E64">
        <w:rPr>
          <w:rFonts w:eastAsia="MS Mincho"/>
          <w:lang w:val="id-ID"/>
        </w:rPr>
        <w:t xml:space="preserve"> </w:t>
      </w:r>
      <w:r w:rsidR="00C55B05" w:rsidRPr="00C55B05">
        <w:rPr>
          <w:color w:val="000000"/>
          <w:szCs w:val="20"/>
        </w:rPr>
        <w:t xml:space="preserve">Air Asam Tambang (AAT), </w:t>
      </w:r>
      <w:r w:rsidR="00C55B05">
        <w:rPr>
          <w:color w:val="000000"/>
          <w:szCs w:val="20"/>
        </w:rPr>
        <w:t>Limestone</w:t>
      </w:r>
      <w:r w:rsidR="00C55B05" w:rsidRPr="00C55B05">
        <w:rPr>
          <w:color w:val="000000"/>
          <w:szCs w:val="20"/>
        </w:rPr>
        <w:t>, Proses Batch</w:t>
      </w:r>
      <w:r w:rsidR="001F67D4">
        <w:rPr>
          <w:color w:val="000000"/>
          <w:szCs w:val="20"/>
        </w:rPr>
        <w:t xml:space="preserve">, </w:t>
      </w:r>
      <w:r w:rsidR="001F67D4" w:rsidRPr="00C55B05">
        <w:rPr>
          <w:color w:val="000000"/>
          <w:szCs w:val="20"/>
        </w:rPr>
        <w:t>Zeolit</w:t>
      </w:r>
    </w:p>
    <w:p w14:paraId="4C53F72B" w14:textId="77777777" w:rsidR="00DA48EF" w:rsidRDefault="00DA48EF" w:rsidP="00602DBE">
      <w:pPr>
        <w:rPr>
          <w:b/>
          <w:bCs/>
          <w:sz w:val="28"/>
          <w:szCs w:val="28"/>
        </w:rPr>
      </w:pPr>
    </w:p>
    <w:p w14:paraId="2DE5A7CA" w14:textId="253CE2C1" w:rsidR="00DA48EF" w:rsidRPr="00050BF9" w:rsidRDefault="00DA48EF" w:rsidP="00DA48EF">
      <w:pPr>
        <w:pStyle w:val="Affiliation"/>
        <w:ind w:left="720" w:right="723"/>
        <w:rPr>
          <w:rFonts w:eastAsia="MS Mincho"/>
          <w:b/>
          <w:i/>
          <w:iCs/>
          <w:lang w:val="id-ID"/>
        </w:rPr>
      </w:pPr>
      <w:r w:rsidRPr="00050BF9">
        <w:rPr>
          <w:rFonts w:eastAsia="MS Mincho"/>
          <w:b/>
          <w:i/>
          <w:iCs/>
          <w:lang w:val="id-ID"/>
        </w:rPr>
        <w:t xml:space="preserve">ABSTRACT </w:t>
      </w:r>
    </w:p>
    <w:p w14:paraId="5E62C5B9" w14:textId="77777777" w:rsidR="00DA48EF" w:rsidRPr="00D01E64" w:rsidRDefault="00DA48EF" w:rsidP="00DA48EF">
      <w:pPr>
        <w:pStyle w:val="Affiliation"/>
        <w:ind w:left="720" w:right="723"/>
        <w:rPr>
          <w:rFonts w:eastAsia="MS Mincho"/>
          <w:b/>
          <w:lang w:val="id-ID"/>
        </w:rPr>
      </w:pPr>
    </w:p>
    <w:p w14:paraId="085E475B" w14:textId="55C9F696" w:rsidR="001F67D4" w:rsidRDefault="00D60703" w:rsidP="00DA48EF">
      <w:pPr>
        <w:pStyle w:val="KataKunci"/>
        <w:ind w:left="720" w:right="723" w:firstLine="0"/>
        <w:rPr>
          <w:bCs w:val="0"/>
          <w:i/>
          <w:iCs w:val="0"/>
          <w:noProof w:val="0"/>
          <w:szCs w:val="20"/>
          <w:lang w:val="id-ID"/>
        </w:rPr>
      </w:pPr>
      <w:r w:rsidRPr="00D60703">
        <w:rPr>
          <w:bCs w:val="0"/>
          <w:i/>
          <w:iCs w:val="0"/>
          <w:noProof w:val="0"/>
          <w:szCs w:val="20"/>
          <w:lang w:val="id-ID"/>
        </w:rPr>
        <w:t>Acid Mine Drainage (AMD) is a serious environmental problem in the particularly Minerals mining industry, characterized by low pH and high concentrations of dissolved heavy metals. This study aims to analyze the effect of the mass ratio between natural zeolite and limestone as a neutralization medium and adsorbent in the AMD processing of PT. XYZ. The research method used was a batch experiment in the laboratory with five variations of the mass ratio of zeolite and limestone (100:0, 75:25, 50:50, 25:75, and 0:100) with a total mass of 10 grams per 500 mL of AMD sample. The parameter measured was the change in pH during a contact time of 90 minutes. The results showed that all variations were able to increase the AMD pH from an initial value of 2.6. The ratio of 25:75 (zeolite:limestone) showed the most optimal effectiveness, able to increase the pH to 8.02 in 60 minutes and remained stable to time 90 minutes. Limestone plays a dominant role in acid neutralization, while the presence of zeolite is thought to prevent the effects of zeolite on acid neutralization armouring (coating) on limestone particles and also absorbs existing metal ions. This combination proved more effective than using each ingredient alone. It was concluded that a mass ratio of 25:75 was the optimal ratio for A</w:t>
      </w:r>
      <w:r>
        <w:rPr>
          <w:bCs w:val="0"/>
          <w:i/>
          <w:iCs w:val="0"/>
          <w:noProof w:val="0"/>
          <w:szCs w:val="20"/>
          <w:lang w:val="id-ID"/>
        </w:rPr>
        <w:t xml:space="preserve">MD </w:t>
      </w:r>
      <w:r w:rsidRPr="00D60703">
        <w:rPr>
          <w:bCs w:val="0"/>
          <w:i/>
          <w:iCs w:val="0"/>
          <w:noProof w:val="0"/>
          <w:szCs w:val="20"/>
          <w:lang w:val="id-ID"/>
        </w:rPr>
        <w:t>treatment in this case study.</w:t>
      </w:r>
    </w:p>
    <w:p w14:paraId="5AE8F44A" w14:textId="77777777" w:rsidR="00D60703" w:rsidRPr="00D01E64" w:rsidRDefault="00D60703" w:rsidP="00DA48EF">
      <w:pPr>
        <w:pStyle w:val="KataKunci"/>
        <w:ind w:left="720" w:right="723" w:firstLine="0"/>
        <w:rPr>
          <w:rFonts w:eastAsia="MS Mincho"/>
          <w:lang w:val="id-ID"/>
        </w:rPr>
      </w:pPr>
    </w:p>
    <w:p w14:paraId="4ACEE888" w14:textId="209543D4" w:rsidR="004D57C9" w:rsidRPr="00DA48EF" w:rsidRDefault="00DA48EF" w:rsidP="00DA48EF">
      <w:pPr>
        <w:pStyle w:val="KataKunci"/>
        <w:ind w:left="720" w:right="723" w:firstLine="0"/>
        <w:rPr>
          <w:rFonts w:eastAsia="MS Mincho"/>
          <w:i/>
          <w:iCs w:val="0"/>
          <w:lang w:val="id-ID"/>
        </w:rPr>
      </w:pPr>
      <w:r w:rsidRPr="0005282B">
        <w:rPr>
          <w:rFonts w:eastAsia="MS Mincho"/>
          <w:i/>
          <w:iCs w:val="0"/>
          <w:lang w:val="id-ID"/>
        </w:rPr>
        <w:t>Keyword</w:t>
      </w:r>
      <w:r w:rsidRPr="0005282B">
        <w:rPr>
          <w:i/>
          <w:iCs w:val="0"/>
        </w:rPr>
        <w:t xml:space="preserve">: </w:t>
      </w:r>
      <w:r w:rsidR="001F67D4" w:rsidRPr="001F67D4">
        <w:rPr>
          <w:i/>
          <w:iCs w:val="0"/>
        </w:rPr>
        <w:t>Acid Mine Drainage (AMD), Limestone, Process Batch, Zeolite</w:t>
      </w:r>
    </w:p>
    <w:p w14:paraId="6C7BD516" w14:textId="77777777" w:rsidR="00731701" w:rsidRPr="00D01E64" w:rsidRDefault="00731701" w:rsidP="00731701">
      <w:pPr>
        <w:pStyle w:val="KataKunci"/>
        <w:ind w:firstLine="0"/>
        <w:rPr>
          <w:rFonts w:eastAsia="MS Mincho"/>
          <w:lang w:val="id-ID"/>
        </w:rPr>
      </w:pPr>
    </w:p>
    <w:p w14:paraId="65AA9451" w14:textId="77777777" w:rsidR="00731701" w:rsidRPr="00F2282F" w:rsidRDefault="00731701" w:rsidP="00731701">
      <w:pPr>
        <w:pStyle w:val="KataKunci"/>
        <w:ind w:firstLine="0"/>
        <w:rPr>
          <w:rFonts w:eastAsia="MS Mincho"/>
          <w:sz w:val="24"/>
          <w:szCs w:val="22"/>
          <w:lang w:val="id-ID"/>
        </w:rPr>
        <w:sectPr w:rsidR="00731701" w:rsidRPr="00F2282F" w:rsidSect="00731701">
          <w:headerReference w:type="even" r:id="rId8"/>
          <w:headerReference w:type="default" r:id="rId9"/>
          <w:headerReference w:type="first" r:id="rId10"/>
          <w:footerReference w:type="first" r:id="rId11"/>
          <w:pgSz w:w="11909" w:h="16834" w:code="9"/>
          <w:pgMar w:top="1138" w:right="1138" w:bottom="1138" w:left="1138" w:header="720" w:footer="720" w:gutter="0"/>
          <w:cols w:space="360"/>
          <w:docGrid w:linePitch="360"/>
        </w:sectPr>
      </w:pPr>
    </w:p>
    <w:p w14:paraId="402AD849" w14:textId="5D147867" w:rsidR="00B50122" w:rsidRPr="00D01E64" w:rsidRDefault="00D60703" w:rsidP="00B50122">
      <w:pPr>
        <w:pStyle w:val="Heading1"/>
      </w:pPr>
      <w:r w:rsidRPr="00D60703">
        <w:t>Introduction</w:t>
      </w:r>
    </w:p>
    <w:p w14:paraId="618B9307" w14:textId="77777777" w:rsidR="00E43552" w:rsidRDefault="00D60703" w:rsidP="00E43552">
      <w:pPr>
        <w:pStyle w:val="ParagrafIsi"/>
        <w:ind w:left="284" w:firstLine="436"/>
        <w:rPr>
          <w:sz w:val="22"/>
          <w:szCs w:val="22"/>
        </w:rPr>
      </w:pPr>
      <w:r w:rsidRPr="00D60703">
        <w:rPr>
          <w:sz w:val="22"/>
          <w:szCs w:val="22"/>
        </w:rPr>
        <w:t>The Republic of Indonesia has long been known for its abundance of natural resources, including in the fields of plantations, agriculture, fisheries, and mining. This attraction is also the cause of the arrival of colonial countries to the archipelago. Almost all parts of the Republic of Indonesia have natural resources that can provide benefits for the well-being of the people. One of the natural resources that can improve the standard of living of the community is the field of mining, both traditional and industrial (</w:t>
      </w:r>
      <w:proofErr w:type="spellStart"/>
      <w:r w:rsidRPr="00D60703">
        <w:rPr>
          <w:sz w:val="22"/>
          <w:szCs w:val="22"/>
        </w:rPr>
        <w:t>Nurfatimah</w:t>
      </w:r>
      <w:proofErr w:type="spellEnd"/>
      <w:r w:rsidRPr="00D60703">
        <w:rPr>
          <w:sz w:val="22"/>
          <w:szCs w:val="22"/>
        </w:rPr>
        <w:t xml:space="preserve">, 2023). </w:t>
      </w:r>
    </w:p>
    <w:p w14:paraId="64BF9BFE" w14:textId="77777777" w:rsidR="00E43552" w:rsidRDefault="00D60703" w:rsidP="00E43552">
      <w:pPr>
        <w:pStyle w:val="ParagrafIsi"/>
        <w:ind w:left="284" w:firstLine="436"/>
        <w:rPr>
          <w:sz w:val="22"/>
          <w:szCs w:val="22"/>
        </w:rPr>
      </w:pPr>
      <w:r w:rsidRPr="00D60703">
        <w:rPr>
          <w:sz w:val="22"/>
          <w:szCs w:val="22"/>
        </w:rPr>
        <w:t>The mining industry, particularly Minerals, has a vital role in the national economy, but it also generates a significant environmental impact. Although it provides good benefits, this mining activity also has a negative impact (</w:t>
      </w:r>
      <w:proofErr w:type="spellStart"/>
      <w:r w:rsidRPr="00D60703">
        <w:rPr>
          <w:sz w:val="22"/>
          <w:szCs w:val="22"/>
        </w:rPr>
        <w:t>Tanri</w:t>
      </w:r>
      <w:proofErr w:type="spellEnd"/>
      <w:r w:rsidRPr="00D60703">
        <w:rPr>
          <w:sz w:val="22"/>
          <w:szCs w:val="22"/>
        </w:rPr>
        <w:t xml:space="preserve"> et al., 2024). One of the main impacts is the formation of Acid Mine Water or AMD, </w:t>
      </w:r>
      <w:r w:rsidRPr="00D60703">
        <w:rPr>
          <w:sz w:val="22"/>
          <w:szCs w:val="22"/>
        </w:rPr>
        <w:lastRenderedPageBreak/>
        <w:t>which is water that has a high level of acidity, which is produced from the mining process and rich in dissolved metals (Ananda et al., 2024). AMD is formed when sulfide minerals, such as pyrite (</w:t>
      </w:r>
      <w:proofErr w:type="spellStart"/>
      <w:r w:rsidRPr="00D60703">
        <w:rPr>
          <w:sz w:val="22"/>
          <w:szCs w:val="22"/>
        </w:rPr>
        <w:t>FeS</w:t>
      </w:r>
      <w:proofErr w:type="spellEnd"/>
      <w:r w:rsidRPr="00D60703">
        <w:rPr>
          <w:sz w:val="22"/>
          <w:szCs w:val="22"/>
        </w:rPr>
        <w:t>₂), which are exposed to air and water during the mining process, undergo oxidation (Zipper et al., 2018). This reaction produces sulfuric acid that drastically lowers the pH of the water, often below 4, and dissolves heavy metals such as iron (Fe), manganese (Mn), and aluminum (Al) from surrounding rocks (Sun et al., 2018).</w:t>
      </w:r>
    </w:p>
    <w:p w14:paraId="63A37078" w14:textId="77777777" w:rsidR="00E43552" w:rsidRDefault="00D60703" w:rsidP="00E43552">
      <w:pPr>
        <w:pStyle w:val="ParagrafIsi"/>
        <w:ind w:left="284" w:firstLine="436"/>
        <w:rPr>
          <w:sz w:val="22"/>
          <w:szCs w:val="22"/>
        </w:rPr>
      </w:pPr>
      <w:r w:rsidRPr="00D60703">
        <w:rPr>
          <w:sz w:val="22"/>
          <w:szCs w:val="22"/>
        </w:rPr>
        <w:t xml:space="preserve">The release of AMD into water bodies without adequate treatment can cause damage to aquatic ecosystems, kill aquatic biota, and pollute water sources for humans (Johnson &amp; Hallberg, 2005).  Therefore, the government sets strict environmental quality standards for mine wastewater, where the pH parameter must be in the range of 6-9 before it can be discharged into the environment </w:t>
      </w:r>
      <w:r w:rsidRPr="00D60703">
        <w:rPr>
          <w:color w:val="000000"/>
          <w:sz w:val="22"/>
          <w:szCs w:val="22"/>
        </w:rPr>
        <w:t>(Minister of Environment Decree 2003).</w:t>
      </w:r>
    </w:p>
    <w:p w14:paraId="1F98FD0B" w14:textId="77777777" w:rsidR="00E43552" w:rsidRDefault="00D60703" w:rsidP="00E43552">
      <w:pPr>
        <w:pStyle w:val="ParagrafIsi"/>
        <w:ind w:left="284" w:firstLine="436"/>
        <w:rPr>
          <w:sz w:val="22"/>
          <w:szCs w:val="22"/>
        </w:rPr>
      </w:pPr>
      <w:r w:rsidRPr="00D60703">
        <w:rPr>
          <w:color w:val="000000"/>
          <w:sz w:val="22"/>
          <w:szCs w:val="22"/>
        </w:rPr>
        <w:t>One of the negative consequences of mining activities is the emergence of Acid Mine Drainage (AMD), which is water with a high acidity level, produced by the mining process and rich in dissolved metals. Similarly, acid mine drainage (AMD) (Ananda et al., 2024).</w:t>
      </w:r>
    </w:p>
    <w:p w14:paraId="7C322EB4" w14:textId="77777777" w:rsidR="00E43552" w:rsidRDefault="00D60703" w:rsidP="00E43552">
      <w:pPr>
        <w:pStyle w:val="ParagrafIsi"/>
        <w:ind w:left="284" w:firstLine="436"/>
        <w:rPr>
          <w:sz w:val="22"/>
          <w:szCs w:val="22"/>
        </w:rPr>
      </w:pPr>
      <w:r w:rsidRPr="00D60703">
        <w:rPr>
          <w:color w:val="000000"/>
          <w:sz w:val="22"/>
          <w:szCs w:val="22"/>
        </w:rPr>
        <w:t>Managing acidic water produced by mining, whether in active or passive forms, is crucial to achieving environmental quality standards. This process involves adjusting the pH value, as well as the levels of Fe and Mn, as stipulated in Minister of Environment Regulation No. 113 of 2003 concerning wastewater quality standards from mining activities, with a pH value set between 6 and 9 (Minister of Environment Decree 2003).</w:t>
      </w:r>
    </w:p>
    <w:p w14:paraId="1279F13B" w14:textId="77777777" w:rsidR="00E43552" w:rsidRDefault="00D60703" w:rsidP="00E43552">
      <w:pPr>
        <w:pStyle w:val="ParagrafIsi"/>
        <w:ind w:left="284" w:firstLine="436"/>
        <w:rPr>
          <w:sz w:val="22"/>
          <w:szCs w:val="22"/>
        </w:rPr>
      </w:pPr>
      <w:r w:rsidRPr="00D60703">
        <w:rPr>
          <w:color w:val="000000"/>
          <w:sz w:val="22"/>
          <w:szCs w:val="22"/>
        </w:rPr>
        <w:t>Various technologies have been developed to treat AMD, which are generally divided into two categories: active and passive treatment (</w:t>
      </w:r>
      <w:proofErr w:type="spellStart"/>
      <w:r w:rsidRPr="00D60703">
        <w:rPr>
          <w:color w:val="000000"/>
          <w:sz w:val="22"/>
          <w:szCs w:val="22"/>
        </w:rPr>
        <w:t>Mapukata</w:t>
      </w:r>
      <w:proofErr w:type="spellEnd"/>
      <w:r w:rsidRPr="00D60703">
        <w:rPr>
          <w:color w:val="000000"/>
          <w:sz w:val="22"/>
          <w:szCs w:val="22"/>
        </w:rPr>
        <w:t xml:space="preserve"> et al., 2024). Active treatment, such as the addition of alkaline chemicals (quicklime, caustic soda), is effective but requires high operational and energy costs, as well as continuous monitoring (</w:t>
      </w:r>
      <w:proofErr w:type="spellStart"/>
      <w:r w:rsidRPr="00D60703">
        <w:rPr>
          <w:color w:val="000000"/>
          <w:sz w:val="22"/>
          <w:szCs w:val="22"/>
        </w:rPr>
        <w:t>Thisani</w:t>
      </w:r>
      <w:proofErr w:type="spellEnd"/>
      <w:r w:rsidRPr="00D60703">
        <w:rPr>
          <w:color w:val="000000"/>
          <w:sz w:val="22"/>
          <w:szCs w:val="22"/>
        </w:rPr>
        <w:t xml:space="preserve"> et al., 2021). In contrast, passive treatment systems are an attractive alternative due to their environmental friendliness, low cost, and minimal maintenance (</w:t>
      </w:r>
      <w:proofErr w:type="spellStart"/>
      <w:r w:rsidRPr="00D60703">
        <w:rPr>
          <w:color w:val="000000"/>
          <w:sz w:val="22"/>
          <w:szCs w:val="22"/>
        </w:rPr>
        <w:t>Qinwen</w:t>
      </w:r>
      <w:proofErr w:type="spellEnd"/>
      <w:r w:rsidRPr="00D60703">
        <w:rPr>
          <w:color w:val="000000"/>
          <w:sz w:val="22"/>
          <w:szCs w:val="22"/>
        </w:rPr>
        <w:t xml:space="preserve"> et al., 2024).</w:t>
      </w:r>
    </w:p>
    <w:p w14:paraId="566ABFD1" w14:textId="77777777" w:rsidR="00E43552" w:rsidRDefault="00D60703" w:rsidP="00E43552">
      <w:pPr>
        <w:pStyle w:val="ParagrafIsi"/>
        <w:ind w:left="284" w:firstLine="436"/>
        <w:rPr>
          <w:color w:val="000000"/>
          <w:sz w:val="22"/>
          <w:szCs w:val="22"/>
        </w:rPr>
      </w:pPr>
      <w:r w:rsidRPr="00D60703">
        <w:rPr>
          <w:color w:val="000000"/>
          <w:sz w:val="22"/>
          <w:szCs w:val="22"/>
        </w:rPr>
        <w:t xml:space="preserve">One potential passive treatment method is the use of naturally occurring reactive materials. Limestone (predominantly </w:t>
      </w:r>
      <w:proofErr w:type="spellStart"/>
      <w:r w:rsidRPr="00D60703">
        <w:rPr>
          <w:color w:val="000000"/>
          <w:sz w:val="22"/>
          <w:szCs w:val="22"/>
        </w:rPr>
        <w:t>CaCO</w:t>
      </w:r>
      <w:proofErr w:type="spellEnd"/>
      <w:r w:rsidRPr="00D60703">
        <w:rPr>
          <w:color w:val="000000"/>
          <w:sz w:val="22"/>
          <w:szCs w:val="22"/>
        </w:rPr>
        <w:t xml:space="preserve">₃) has long been used for its effective acidity neutralization (Francesco et al., 2015). However, the use of limestone alone has a drawback, namely the phenomenon of </w:t>
      </w:r>
      <w:proofErr w:type="spellStart"/>
      <w:r w:rsidRPr="00D60703">
        <w:rPr>
          <w:color w:val="000000"/>
          <w:sz w:val="22"/>
          <w:szCs w:val="22"/>
        </w:rPr>
        <w:t>armouring</w:t>
      </w:r>
      <w:proofErr w:type="spellEnd"/>
      <w:r w:rsidRPr="00D60703">
        <w:rPr>
          <w:color w:val="000000"/>
          <w:sz w:val="22"/>
          <w:szCs w:val="22"/>
        </w:rPr>
        <w:t>, where the surface of limestone particles is covered by metal hydroxide deposits (e.g. Fe (OH)₃), thus inhibiting further neutralization reactions (Sun et al., 2018)</w:t>
      </w:r>
      <w:r w:rsidR="00E43552">
        <w:rPr>
          <w:color w:val="000000"/>
          <w:sz w:val="22"/>
          <w:szCs w:val="22"/>
        </w:rPr>
        <w:t>.</w:t>
      </w:r>
    </w:p>
    <w:p w14:paraId="52EACF6D" w14:textId="77777777" w:rsidR="00E43552" w:rsidRDefault="00D60703" w:rsidP="00E43552">
      <w:pPr>
        <w:pStyle w:val="ParagrafIsi"/>
        <w:ind w:left="284" w:firstLine="436"/>
        <w:rPr>
          <w:sz w:val="22"/>
          <w:szCs w:val="22"/>
        </w:rPr>
      </w:pPr>
      <w:r w:rsidRPr="00D60703">
        <w:rPr>
          <w:color w:val="000000"/>
          <w:sz w:val="22"/>
          <w:szCs w:val="22"/>
        </w:rPr>
        <w:t>To address these issues, modern research has begun combining limestone with other materials, one of which is zeolite. Zeolite is a hydrated aluminosilicate mineral with a porous three-dimensional framework structure. Its unique structure provides a high cation exchange capacity, enabling it to adsorb heavy metal ions from AMD solutions (</w:t>
      </w:r>
      <w:proofErr w:type="spellStart"/>
      <w:r w:rsidRPr="00D60703">
        <w:rPr>
          <w:color w:val="000000"/>
          <w:sz w:val="22"/>
          <w:szCs w:val="22"/>
        </w:rPr>
        <w:t>Widyaningrum</w:t>
      </w:r>
      <w:proofErr w:type="spellEnd"/>
      <w:r w:rsidRPr="00D60703">
        <w:rPr>
          <w:color w:val="000000"/>
          <w:sz w:val="22"/>
          <w:szCs w:val="22"/>
        </w:rPr>
        <w:t xml:space="preserve"> et al., 2022). Furthermore, the porosity of zeolite is expected to act as a dispersion medium for limestone, reducing direct contact between limestone particles and minimizing the armoring effect (Sun et al., 2018).</w:t>
      </w:r>
    </w:p>
    <w:p w14:paraId="1A1BC1BD" w14:textId="33C97719" w:rsidR="00D60703" w:rsidRPr="00D60703" w:rsidRDefault="00D60703" w:rsidP="00E43552">
      <w:pPr>
        <w:pStyle w:val="ParagrafIsi"/>
        <w:ind w:left="284" w:firstLine="436"/>
        <w:rPr>
          <w:sz w:val="22"/>
          <w:szCs w:val="22"/>
        </w:rPr>
      </w:pPr>
      <w:r w:rsidRPr="00D60703">
        <w:rPr>
          <w:color w:val="000000"/>
          <w:sz w:val="22"/>
          <w:szCs w:val="22"/>
        </w:rPr>
        <w:t>Although the potential of each material has been extensively researched, studies on the effect of the compositional ratio between zeolite and limestone on the effectiveness of AAT neutralization are still limited. Therefore, this study aims to determine the optimal mass ratio between zeolite and limestone to increase the pH of acid mine water originating from the PT. XYZ site, thus providing the basis for the development of a more efficient and sustainable passive treatment system (Daniela et al., 2025).</w:t>
      </w:r>
    </w:p>
    <w:p w14:paraId="6D9B300C" w14:textId="77777777" w:rsidR="001F67D4" w:rsidRPr="00D01E64" w:rsidRDefault="001F67D4" w:rsidP="001F67D4">
      <w:pPr>
        <w:pStyle w:val="BodyText"/>
        <w:rPr>
          <w:lang w:val="id-ID"/>
        </w:rPr>
      </w:pPr>
    </w:p>
    <w:p w14:paraId="35DE0091" w14:textId="77777777" w:rsidR="00D60703" w:rsidRDefault="00D60703" w:rsidP="00327393">
      <w:pPr>
        <w:pStyle w:val="Heading1"/>
      </w:pPr>
      <w:r w:rsidRPr="00D60703">
        <w:t>Method</w:t>
      </w:r>
    </w:p>
    <w:p w14:paraId="74C399C8" w14:textId="04A790C6" w:rsidR="00B50122" w:rsidRPr="001F67D4" w:rsidRDefault="00D60703" w:rsidP="00D60703">
      <w:pPr>
        <w:pStyle w:val="Heading2"/>
      </w:pPr>
      <w:r w:rsidRPr="00D60703">
        <w:t>Time and Place of Research</w:t>
      </w:r>
    </w:p>
    <w:p w14:paraId="0EEF8F6F" w14:textId="18F1BEBD" w:rsidR="00B50122" w:rsidRDefault="00D60703" w:rsidP="00B50122">
      <w:pPr>
        <w:pStyle w:val="TeksSub-Bab"/>
      </w:pPr>
      <w:r w:rsidRPr="00D60703">
        <w:t>This research was conducted at the Chemical Engineering Laboratory, Bontang Industrial Technology College from March – May 2025. Acid Mine Drainage samples were obtained from the reservoir pond (settling pond) in the concession area of PT. XYZ, South Sulawesi.</w:t>
      </w:r>
    </w:p>
    <w:p w14:paraId="0B77AE82" w14:textId="77777777" w:rsidR="001F67D4" w:rsidRPr="001F67D4" w:rsidRDefault="001F67D4" w:rsidP="00B50122">
      <w:pPr>
        <w:pStyle w:val="TeksSub-Bab"/>
      </w:pPr>
    </w:p>
    <w:p w14:paraId="2A0786B5" w14:textId="59A40CEA" w:rsidR="001F67D4" w:rsidRDefault="00D60703" w:rsidP="001F67D4">
      <w:pPr>
        <w:pStyle w:val="Heading2"/>
        <w:rPr>
          <w:b w:val="0"/>
          <w:bCs/>
          <w:color w:val="4472C4" w:themeColor="accent1"/>
        </w:rPr>
      </w:pPr>
      <w:r w:rsidRPr="00D60703">
        <w:t>Tools and materials</w:t>
      </w:r>
    </w:p>
    <w:p w14:paraId="670E27E9" w14:textId="7FB5954A" w:rsidR="00D60703" w:rsidRDefault="00D60703" w:rsidP="00D60703">
      <w:pPr>
        <w:pStyle w:val="TeksSub-Bab"/>
      </w:pPr>
      <w:r>
        <w:t>The equipment used includes a digital pH meter (Hanna Instruments HI98191), 1000 mL beaker, analytical balance,magnetic stirrer, Whatman No. 42 filter paper, thermometer andstopwatch.</w:t>
      </w:r>
    </w:p>
    <w:p w14:paraId="1FD7486E" w14:textId="742D2234" w:rsidR="001F67D4" w:rsidRDefault="00D60703" w:rsidP="00D60703">
      <w:pPr>
        <w:pStyle w:val="TeksSub-Bab"/>
      </w:pPr>
      <w:r>
        <w:t xml:space="preserve">The materials used are samples of AMD PT. XYZ, natural zeolite type clinoptilolite which has been activated by grinding to a size of 100 mesh and heating at a temperature of 110°C for 2 hours, as well as commercial limestone which is also ground to a size of 100 mesh. </w:t>
      </w:r>
    </w:p>
    <w:p w14:paraId="6DD9EC04" w14:textId="77777777" w:rsidR="00D60703" w:rsidRPr="001F67D4" w:rsidRDefault="00D60703" w:rsidP="00D60703">
      <w:pPr>
        <w:pStyle w:val="TeksSub-Bab"/>
      </w:pPr>
    </w:p>
    <w:p w14:paraId="620144A3" w14:textId="369A2A5F" w:rsidR="001F67D4" w:rsidRDefault="00215BF8" w:rsidP="001F67D4">
      <w:pPr>
        <w:pStyle w:val="Heading2"/>
        <w:rPr>
          <w:b w:val="0"/>
          <w:bCs/>
          <w:color w:val="4472C4" w:themeColor="accent1"/>
        </w:rPr>
      </w:pPr>
      <w:r w:rsidRPr="00215BF8">
        <w:lastRenderedPageBreak/>
        <w:t xml:space="preserve">Research </w:t>
      </w:r>
      <w:r>
        <w:t>Procedure</w:t>
      </w:r>
    </w:p>
    <w:p w14:paraId="2D441EF9" w14:textId="77777777" w:rsidR="00215BF8" w:rsidRDefault="00215BF8" w:rsidP="00E43552">
      <w:pPr>
        <w:pStyle w:val="TeksSub-Bab"/>
        <w:ind w:left="634" w:firstLine="359"/>
      </w:pPr>
      <w:r>
        <w:t>Initial characterization of the AMD sample was carried out by measuring the initial pH using a calibrated pH meter. The experimental procedure was carried out in abatch as follows:</w:t>
      </w:r>
    </w:p>
    <w:p w14:paraId="7974909C" w14:textId="07DCA44A" w:rsidR="00215BF8" w:rsidRDefault="00215BF8" w:rsidP="00215BF8">
      <w:pPr>
        <w:pStyle w:val="TeksSub-Bab"/>
        <w:numPr>
          <w:ilvl w:val="0"/>
          <w:numId w:val="15"/>
        </w:numPr>
        <w:ind w:left="993"/>
      </w:pPr>
      <w:r>
        <w:t>Five beakers were prepared, each filled with 500 mL of AMD sample.</w:t>
      </w:r>
    </w:p>
    <w:p w14:paraId="35D1248C" w14:textId="77777777" w:rsidR="00215BF8" w:rsidRDefault="00215BF8" w:rsidP="00215BF8">
      <w:pPr>
        <w:pStyle w:val="TeksSub-Bab"/>
        <w:numPr>
          <w:ilvl w:val="0"/>
          <w:numId w:val="15"/>
        </w:numPr>
        <w:ind w:left="993"/>
      </w:pPr>
      <w:r>
        <w:t>A mixture of zeolite and limestone media was added to each beaker with a total mass of 10 grams, according to five variations in mass ratio (in grams):</w:t>
      </w:r>
    </w:p>
    <w:p w14:paraId="531EF83D" w14:textId="77777777" w:rsidR="00215BF8" w:rsidRDefault="00215BF8" w:rsidP="00215BF8">
      <w:pPr>
        <w:pStyle w:val="TeksSub-Bab"/>
        <w:numPr>
          <w:ilvl w:val="0"/>
          <w:numId w:val="16"/>
        </w:numPr>
      </w:pPr>
      <w:r>
        <w:t>V1: 10 g Zeolit + 0 g Limestone (100:0)</w:t>
      </w:r>
    </w:p>
    <w:p w14:paraId="221B0B36" w14:textId="77777777" w:rsidR="00215BF8" w:rsidRDefault="00215BF8" w:rsidP="00215BF8">
      <w:pPr>
        <w:pStyle w:val="TeksSub-Bab"/>
        <w:numPr>
          <w:ilvl w:val="0"/>
          <w:numId w:val="16"/>
        </w:numPr>
      </w:pPr>
      <w:r>
        <w:t>V2: 7,5 g Zeolit + 2,5 g Limestone (75:25)</w:t>
      </w:r>
    </w:p>
    <w:p w14:paraId="1E01B7CF" w14:textId="77777777" w:rsidR="00215BF8" w:rsidRDefault="00215BF8" w:rsidP="00215BF8">
      <w:pPr>
        <w:pStyle w:val="TeksSub-Bab"/>
        <w:numPr>
          <w:ilvl w:val="0"/>
          <w:numId w:val="16"/>
        </w:numPr>
      </w:pPr>
      <w:r>
        <w:t>V3: 5.0 g Zeolite + 5.0 g Limestone (50:50)</w:t>
      </w:r>
    </w:p>
    <w:p w14:paraId="4C2C7AB0" w14:textId="77777777" w:rsidR="00215BF8" w:rsidRDefault="00215BF8" w:rsidP="00215BF8">
      <w:pPr>
        <w:pStyle w:val="TeksSub-Bab"/>
        <w:numPr>
          <w:ilvl w:val="0"/>
          <w:numId w:val="16"/>
        </w:numPr>
      </w:pPr>
      <w:r>
        <w:t>V4: 2.5 g Zeolite + 7.5 g Limestone (25:75)</w:t>
      </w:r>
    </w:p>
    <w:p w14:paraId="7A529062" w14:textId="77777777" w:rsidR="00215BF8" w:rsidRDefault="00215BF8" w:rsidP="00215BF8">
      <w:pPr>
        <w:pStyle w:val="TeksSub-Bab"/>
        <w:numPr>
          <w:ilvl w:val="0"/>
          <w:numId w:val="16"/>
        </w:numPr>
      </w:pPr>
      <w:r>
        <w:t>V5: 0 g Zeolit + 10 g Limestone (0:100)</w:t>
      </w:r>
    </w:p>
    <w:p w14:paraId="5ECEC4DE" w14:textId="77777777" w:rsidR="00215BF8" w:rsidRDefault="00215BF8" w:rsidP="00215BF8">
      <w:pPr>
        <w:pStyle w:val="TeksSub-Bab"/>
        <w:numPr>
          <w:ilvl w:val="0"/>
          <w:numId w:val="15"/>
        </w:numPr>
        <w:ind w:left="993"/>
      </w:pPr>
      <w:r>
        <w:t>Each solution was stirred using a magnetic stirrer at a constant speed (150 rpm) to ensure even contact between the media and AMD.</w:t>
      </w:r>
    </w:p>
    <w:p w14:paraId="196CCB91" w14:textId="77777777" w:rsidR="00215BF8" w:rsidRDefault="00215BF8" w:rsidP="00215BF8">
      <w:pPr>
        <w:pStyle w:val="TeksSub-Bab"/>
        <w:numPr>
          <w:ilvl w:val="0"/>
          <w:numId w:val="15"/>
        </w:numPr>
        <w:ind w:left="993"/>
      </w:pPr>
      <w:r>
        <w:t>Changes in pH were measured and recorded at time intervals of 0, 5, 15, 30, 60, and 90 minutes.</w:t>
      </w:r>
    </w:p>
    <w:p w14:paraId="478314BF" w14:textId="40A873BC" w:rsidR="00246487" w:rsidRPr="00246487" w:rsidRDefault="00215BF8" w:rsidP="00215BF8">
      <w:pPr>
        <w:pStyle w:val="TeksSub-Bab"/>
        <w:numPr>
          <w:ilvl w:val="0"/>
          <w:numId w:val="15"/>
        </w:numPr>
        <w:ind w:left="993"/>
      </w:pPr>
      <w:r>
        <w:t>Each treatment was repeated three times (triplicate) to ensure data validity.</w:t>
      </w:r>
    </w:p>
    <w:p w14:paraId="0ABFB6C9" w14:textId="02CF99C4" w:rsidR="00246487" w:rsidRPr="00246487" w:rsidRDefault="00246487" w:rsidP="00246487">
      <w:pPr>
        <w:pStyle w:val="ListParagraph"/>
        <w:pBdr>
          <w:top w:val="nil"/>
          <w:left w:val="nil"/>
          <w:bottom w:val="nil"/>
          <w:right w:val="nil"/>
          <w:between w:val="nil"/>
        </w:pBdr>
        <w:ind w:left="567"/>
        <w:jc w:val="center"/>
        <w:rPr>
          <w:color w:val="000000"/>
          <w:szCs w:val="22"/>
        </w:rPr>
      </w:pPr>
      <w:r>
        <w:rPr>
          <w:noProof/>
        </w:rPr>
        <mc:AlternateContent>
          <mc:Choice Requires="wps">
            <w:drawing>
              <wp:anchor distT="0" distB="0" distL="114300" distR="114300" simplePos="0" relativeHeight="251659264" behindDoc="0" locked="0" layoutInCell="1" hidden="0" allowOverlap="1" wp14:anchorId="063AA731" wp14:editId="3C28674C">
                <wp:simplePos x="0" y="0"/>
                <wp:positionH relativeFrom="column">
                  <wp:posOffset>3667125</wp:posOffset>
                </wp:positionH>
                <wp:positionV relativeFrom="paragraph">
                  <wp:posOffset>212725</wp:posOffset>
                </wp:positionV>
                <wp:extent cx="1371600" cy="923925"/>
                <wp:effectExtent l="0" t="0" r="0" b="9525"/>
                <wp:wrapNone/>
                <wp:docPr id="838002505" name="Rectangle 838002505"/>
                <wp:cNvGraphicFramePr/>
                <a:graphic xmlns:a="http://schemas.openxmlformats.org/drawingml/2006/main">
                  <a:graphicData uri="http://schemas.microsoft.com/office/word/2010/wordprocessingShape">
                    <wps:wsp>
                      <wps:cNvSpPr/>
                      <wps:spPr>
                        <a:xfrm>
                          <a:off x="0" y="0"/>
                          <a:ext cx="1371600" cy="923925"/>
                        </a:xfrm>
                        <a:prstGeom prst="rect">
                          <a:avLst/>
                        </a:prstGeom>
                        <a:noFill/>
                        <a:ln>
                          <a:noFill/>
                        </a:ln>
                      </wps:spPr>
                      <wps:txbx>
                        <w:txbxContent>
                          <w:p w14:paraId="49D38E2E" w14:textId="77777777" w:rsidR="00D60703" w:rsidRPr="00D60703" w:rsidRDefault="00D60703" w:rsidP="00D60703">
                            <w:pPr>
                              <w:jc w:val="left"/>
                              <w:textDirection w:val="btLr"/>
                              <w:rPr>
                                <w:color w:val="000000"/>
                                <w:sz w:val="22"/>
                                <w:szCs w:val="22"/>
                              </w:rPr>
                            </w:pPr>
                            <w:r w:rsidRPr="00D60703">
                              <w:rPr>
                                <w:color w:val="000000"/>
                                <w:sz w:val="22"/>
                                <w:szCs w:val="22"/>
                              </w:rPr>
                              <w:t>Information:</w:t>
                            </w:r>
                          </w:p>
                          <w:p w14:paraId="54025B84" w14:textId="77777777" w:rsidR="00D60703" w:rsidRPr="00D60703" w:rsidRDefault="00D60703" w:rsidP="00D60703">
                            <w:pPr>
                              <w:jc w:val="left"/>
                              <w:textDirection w:val="btLr"/>
                              <w:rPr>
                                <w:color w:val="000000"/>
                                <w:sz w:val="22"/>
                                <w:szCs w:val="22"/>
                              </w:rPr>
                            </w:pPr>
                            <w:r w:rsidRPr="00D60703">
                              <w:rPr>
                                <w:color w:val="000000"/>
                                <w:sz w:val="22"/>
                                <w:szCs w:val="22"/>
                              </w:rPr>
                              <w:t xml:space="preserve">1. Tripod </w:t>
                            </w:r>
                          </w:p>
                          <w:p w14:paraId="797DCADD" w14:textId="77777777" w:rsidR="00D60703" w:rsidRPr="00D60703" w:rsidRDefault="00D60703" w:rsidP="00D60703">
                            <w:pPr>
                              <w:jc w:val="left"/>
                              <w:textDirection w:val="btLr"/>
                              <w:rPr>
                                <w:color w:val="000000"/>
                                <w:sz w:val="22"/>
                                <w:szCs w:val="22"/>
                              </w:rPr>
                            </w:pPr>
                            <w:r w:rsidRPr="00D60703">
                              <w:rPr>
                                <w:color w:val="000000"/>
                                <w:sz w:val="22"/>
                                <w:szCs w:val="22"/>
                              </w:rPr>
                              <w:t>2. Thermometer</w:t>
                            </w:r>
                          </w:p>
                          <w:p w14:paraId="69DC8069" w14:textId="77777777" w:rsidR="00D60703" w:rsidRPr="00D60703" w:rsidRDefault="00D60703" w:rsidP="00D60703">
                            <w:pPr>
                              <w:jc w:val="left"/>
                              <w:textDirection w:val="btLr"/>
                              <w:rPr>
                                <w:color w:val="000000"/>
                                <w:sz w:val="22"/>
                                <w:szCs w:val="22"/>
                              </w:rPr>
                            </w:pPr>
                            <w:r w:rsidRPr="00D60703">
                              <w:rPr>
                                <w:color w:val="000000"/>
                                <w:sz w:val="22"/>
                                <w:szCs w:val="22"/>
                              </w:rPr>
                              <w:t xml:space="preserve">3. Beaker Glass </w:t>
                            </w:r>
                          </w:p>
                          <w:p w14:paraId="593AED45" w14:textId="4B372D5C" w:rsidR="00246487" w:rsidRPr="00246487" w:rsidRDefault="00D60703" w:rsidP="00D60703">
                            <w:pPr>
                              <w:jc w:val="left"/>
                              <w:textDirection w:val="btLr"/>
                              <w:rPr>
                                <w:sz w:val="22"/>
                                <w:szCs w:val="22"/>
                              </w:rPr>
                            </w:pPr>
                            <w:r w:rsidRPr="00D60703">
                              <w:rPr>
                                <w:color w:val="000000"/>
                                <w:sz w:val="22"/>
                                <w:szCs w:val="22"/>
                              </w:rPr>
                              <w:t>4. Magnetic Stirrer</w:t>
                            </w:r>
                          </w:p>
                        </w:txbxContent>
                      </wps:txbx>
                      <wps:bodyPr spcFirstLastPara="1" wrap="square" lIns="91425" tIns="45700" rIns="91425" bIns="45700" anchor="t" anchorCtr="0">
                        <a:noAutofit/>
                      </wps:bodyPr>
                    </wps:wsp>
                  </a:graphicData>
                </a:graphic>
              </wp:anchor>
            </w:drawing>
          </mc:Choice>
          <mc:Fallback>
            <w:pict>
              <v:rect w14:anchorId="063AA731" id="Rectangle 838002505" o:spid="_x0000_s1026" style="position:absolute;left:0;text-align:left;margin-left:288.75pt;margin-top:16.75pt;width:108pt;height:7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" filled="f" stroked="f">
                <v:textbox inset="2.53958mm,1.2694mm,2.53958mm,1.2694mm">
                  <w:txbxContent>
                    <w:p w14:paraId="49D38E2E" w14:textId="77777777" w:rsidR="00D60703" w:rsidRPr="00D60703" w:rsidRDefault="00D60703" w:rsidP="00D60703">
                      <w:pPr>
                        <w:jc w:val="left"/>
                        <w:textDirection w:val="btLr"/>
                        <w:rPr>
                          <w:color w:val="000000"/>
                          <w:sz w:val="22"/>
                          <w:szCs w:val="22"/>
                        </w:rPr>
                      </w:pPr>
                      <w:r w:rsidRPr="00D60703">
                        <w:rPr>
                          <w:color w:val="000000"/>
                          <w:sz w:val="22"/>
                          <w:szCs w:val="22"/>
                        </w:rPr>
                        <w:t>Information:</w:t>
                      </w:r>
                    </w:p>
                    <w:p w14:paraId="54025B84" w14:textId="77777777" w:rsidR="00D60703" w:rsidRPr="00D60703" w:rsidRDefault="00D60703" w:rsidP="00D60703">
                      <w:pPr>
                        <w:jc w:val="left"/>
                        <w:textDirection w:val="btLr"/>
                        <w:rPr>
                          <w:color w:val="000000"/>
                          <w:sz w:val="22"/>
                          <w:szCs w:val="22"/>
                        </w:rPr>
                      </w:pPr>
                      <w:r w:rsidRPr="00D60703">
                        <w:rPr>
                          <w:color w:val="000000"/>
                          <w:sz w:val="22"/>
                          <w:szCs w:val="22"/>
                        </w:rPr>
                        <w:t xml:space="preserve">1. Tripod </w:t>
                      </w:r>
                    </w:p>
                    <w:p w14:paraId="797DCADD" w14:textId="77777777" w:rsidR="00D60703" w:rsidRPr="00D60703" w:rsidRDefault="00D60703" w:rsidP="00D60703">
                      <w:pPr>
                        <w:jc w:val="left"/>
                        <w:textDirection w:val="btLr"/>
                        <w:rPr>
                          <w:color w:val="000000"/>
                          <w:sz w:val="22"/>
                          <w:szCs w:val="22"/>
                        </w:rPr>
                      </w:pPr>
                      <w:r w:rsidRPr="00D60703">
                        <w:rPr>
                          <w:color w:val="000000"/>
                          <w:sz w:val="22"/>
                          <w:szCs w:val="22"/>
                        </w:rPr>
                        <w:t>2. Thermometer</w:t>
                      </w:r>
                    </w:p>
                    <w:p w14:paraId="69DC8069" w14:textId="77777777" w:rsidR="00D60703" w:rsidRPr="00D60703" w:rsidRDefault="00D60703" w:rsidP="00D60703">
                      <w:pPr>
                        <w:jc w:val="left"/>
                        <w:textDirection w:val="btLr"/>
                        <w:rPr>
                          <w:color w:val="000000"/>
                          <w:sz w:val="22"/>
                          <w:szCs w:val="22"/>
                        </w:rPr>
                      </w:pPr>
                      <w:r w:rsidRPr="00D60703">
                        <w:rPr>
                          <w:color w:val="000000"/>
                          <w:sz w:val="22"/>
                          <w:szCs w:val="22"/>
                        </w:rPr>
                        <w:t xml:space="preserve">3. Beaker Glass </w:t>
                      </w:r>
                    </w:p>
                    <w:p w14:paraId="593AED45" w14:textId="4B372D5C" w:rsidR="00246487" w:rsidRPr="00246487" w:rsidRDefault="00D60703" w:rsidP="00D60703">
                      <w:pPr>
                        <w:jc w:val="left"/>
                        <w:textDirection w:val="btLr"/>
                        <w:rPr>
                          <w:sz w:val="22"/>
                          <w:szCs w:val="22"/>
                        </w:rPr>
                      </w:pPr>
                      <w:r w:rsidRPr="00D60703">
                        <w:rPr>
                          <w:color w:val="000000"/>
                          <w:sz w:val="22"/>
                          <w:szCs w:val="22"/>
                        </w:rPr>
                        <w:t>4. Magnetic Stirrer</w:t>
                      </w:r>
                    </w:p>
                  </w:txbxContent>
                </v:textbox>
              </v:rect>
            </w:pict>
          </mc:Fallback>
        </mc:AlternateContent>
      </w:r>
      <w:r>
        <w:rPr>
          <w:noProof/>
        </w:rPr>
        <w:drawing>
          <wp:inline distT="0" distB="0" distL="0" distR="0" wp14:anchorId="19B25ED2" wp14:editId="670DE37C">
            <wp:extent cx="1876425" cy="146685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876425" cy="1466850"/>
                    </a:xfrm>
                    <a:prstGeom prst="rect">
                      <a:avLst/>
                    </a:prstGeom>
                    <a:ln/>
                  </pic:spPr>
                </pic:pic>
              </a:graphicData>
            </a:graphic>
          </wp:inline>
        </w:drawing>
      </w:r>
    </w:p>
    <w:p w14:paraId="0BB72244" w14:textId="101048D6" w:rsidR="00246487" w:rsidRDefault="00D60703" w:rsidP="00D60703">
      <w:pPr>
        <w:pStyle w:val="TeksSub-Bab"/>
        <w:ind w:left="0" w:firstLine="0"/>
        <w:jc w:val="center"/>
      </w:pPr>
      <w:r w:rsidRPr="00D60703">
        <w:rPr>
          <w:rFonts w:eastAsiaTheme="minorHAnsi" w:cstheme="minorBidi"/>
          <w:bCs/>
          <w:spacing w:val="0"/>
          <w:kern w:val="2"/>
          <w:szCs w:val="24"/>
          <w:shd w:val="clear" w:color="auto" w:fill="auto"/>
          <w:lang w:val="en-ID" w:eastAsia="en-US"/>
          <w14:ligatures w14:val="standardContextual"/>
        </w:rPr>
        <w:t>Figure 1. Research Tools Series</w:t>
      </w:r>
    </w:p>
    <w:p w14:paraId="5E790258" w14:textId="77777777" w:rsidR="000B5A81" w:rsidRDefault="000B5A81" w:rsidP="000B5A81">
      <w:pPr>
        <w:pStyle w:val="TeksSub-Bab"/>
        <w:ind w:left="0" w:firstLine="0"/>
      </w:pPr>
    </w:p>
    <w:p w14:paraId="77F12B46" w14:textId="347FB583" w:rsidR="000B5A81" w:rsidRDefault="00215BF8" w:rsidP="000B5A81">
      <w:pPr>
        <w:pStyle w:val="TeksSub-Bab"/>
        <w:ind w:left="634" w:firstLine="359"/>
      </w:pPr>
      <w:r w:rsidRPr="00215BF8">
        <w:t>The pH measurement data from the three replications were averaged. The results are then presented in the form of tables and graphs showing the relationship between contact time and pH change for each variation of the media comparison. The analysis was carried out descriptively to compare the effectiveness of each variation and determine the most optimal comparison.</w:t>
      </w:r>
    </w:p>
    <w:p w14:paraId="55204D7A" w14:textId="77777777" w:rsidR="00215BF8" w:rsidRPr="000B5A81" w:rsidRDefault="00215BF8" w:rsidP="000B5A81">
      <w:pPr>
        <w:pStyle w:val="TeksSub-Bab"/>
        <w:ind w:left="634" w:firstLine="359"/>
      </w:pPr>
    </w:p>
    <w:p w14:paraId="098ED964" w14:textId="59B70CF3" w:rsidR="00B50122" w:rsidRPr="001D4F37" w:rsidRDefault="00215BF8" w:rsidP="008B50FC">
      <w:pPr>
        <w:pStyle w:val="Heading1"/>
      </w:pPr>
      <w:r w:rsidRPr="00215BF8">
        <w:t>Results And Discussion</w:t>
      </w:r>
    </w:p>
    <w:p w14:paraId="48369091" w14:textId="66080B24" w:rsidR="00B50122" w:rsidRPr="00D01E64" w:rsidRDefault="00215BF8" w:rsidP="00B50122">
      <w:pPr>
        <w:pStyle w:val="Heading2"/>
      </w:pPr>
      <w:r w:rsidRPr="00215BF8">
        <w:t>Characteristics of Acid Mine Drainage</w:t>
      </w:r>
    </w:p>
    <w:p w14:paraId="5CF86CBE" w14:textId="38634D8B" w:rsidR="00246487" w:rsidRDefault="00215BF8" w:rsidP="00B50122">
      <w:pPr>
        <w:pStyle w:val="TeksSub-Bab"/>
      </w:pPr>
      <w:r w:rsidRPr="00215BF8">
        <w:t>The results of AMD sample measurements from PT. XYZ showed an average initial pH of 2.6. This value is well below the established environmental quality standards (pH 6-9), requiring treatment before discharge into the environment.</w:t>
      </w:r>
    </w:p>
    <w:p w14:paraId="058FD974" w14:textId="76562F97" w:rsidR="00B50122" w:rsidRDefault="00215BF8" w:rsidP="00B50122">
      <w:pPr>
        <w:pStyle w:val="Heading2"/>
      </w:pPr>
      <w:r w:rsidRPr="00215BF8">
        <w:t>The Effect of Contact Time and Media Ratio on pH</w:t>
      </w:r>
    </w:p>
    <w:p w14:paraId="492EA449" w14:textId="26F8BBDD" w:rsidR="00FA5A7B" w:rsidRDefault="00215BF8" w:rsidP="00B50122">
      <w:pPr>
        <w:pStyle w:val="TeksSub-Bab"/>
      </w:pPr>
      <w:r w:rsidRPr="00215BF8">
        <w:t>Changes in AAT pH during 90 minutes of contact time for the five variations of zeolite and limestone ratios are presented in Table 1.</w:t>
      </w:r>
    </w:p>
    <w:p w14:paraId="689863B7" w14:textId="77777777" w:rsidR="00FA5A7B" w:rsidRDefault="00FA5A7B" w:rsidP="00B50122">
      <w:pPr>
        <w:pStyle w:val="TeksSub-Bab"/>
      </w:pPr>
    </w:p>
    <w:p w14:paraId="1B25F98C" w14:textId="1AE325BC" w:rsidR="00215BF8" w:rsidRDefault="00215BF8" w:rsidP="00215BF8">
      <w:pPr>
        <w:pStyle w:val="TeksSub-Bab"/>
        <w:ind w:left="142"/>
        <w:jc w:val="center"/>
        <w:rPr>
          <w:sz w:val="20"/>
          <w:szCs w:val="20"/>
        </w:rPr>
      </w:pPr>
      <w:r w:rsidRPr="00215BF8">
        <w:rPr>
          <w:sz w:val="20"/>
          <w:szCs w:val="20"/>
        </w:rPr>
        <w:t>Table 1. Results of Acid Mine Drainage Measurements After Adding a Mixture</w:t>
      </w:r>
    </w:p>
    <w:p w14:paraId="7070FA77" w14:textId="5FB76EE4" w:rsidR="008B50FC" w:rsidRPr="005F12BE" w:rsidRDefault="00215BF8" w:rsidP="00215BF8">
      <w:pPr>
        <w:pStyle w:val="TeksSub-Bab"/>
        <w:ind w:left="142"/>
        <w:jc w:val="center"/>
        <w:rPr>
          <w:sz w:val="20"/>
          <w:szCs w:val="20"/>
        </w:rPr>
      </w:pPr>
      <w:r w:rsidRPr="00215BF8">
        <w:rPr>
          <w:sz w:val="20"/>
          <w:szCs w:val="20"/>
        </w:rPr>
        <w:t>of Zeolite and Limestone (Karim, 2025)</w:t>
      </w:r>
    </w:p>
    <w:tbl>
      <w:tblPr>
        <w:tblW w:w="8368" w:type="dxa"/>
        <w:jc w:val="center"/>
        <w:tblLook w:val="04A0" w:firstRow="1" w:lastRow="0" w:firstColumn="1" w:lastColumn="0" w:noHBand="0" w:noVBand="1"/>
      </w:tblPr>
      <w:tblGrid>
        <w:gridCol w:w="1070"/>
        <w:gridCol w:w="861"/>
        <w:gridCol w:w="1172"/>
        <w:gridCol w:w="1172"/>
        <w:gridCol w:w="1172"/>
        <w:gridCol w:w="861"/>
        <w:gridCol w:w="2060"/>
      </w:tblGrid>
      <w:tr w:rsidR="00FA5A7B" w:rsidRPr="00FA5A7B" w14:paraId="7C8993D6" w14:textId="77777777" w:rsidTr="007545A7">
        <w:trPr>
          <w:trHeight w:val="506"/>
          <w:jc w:val="center"/>
        </w:trPr>
        <w:tc>
          <w:tcPr>
            <w:tcW w:w="1070" w:type="dxa"/>
            <w:vMerge w:val="restart"/>
            <w:tcBorders>
              <w:top w:val="single" w:sz="4" w:space="0" w:color="auto"/>
            </w:tcBorders>
            <w:noWrap/>
            <w:vAlign w:val="center"/>
            <w:hideMark/>
          </w:tcPr>
          <w:p w14:paraId="104A4D46" w14:textId="6A6649FD" w:rsidR="00FA5A7B" w:rsidRPr="00FA5A7B" w:rsidRDefault="00215BF8" w:rsidP="007545A7">
            <w:pPr>
              <w:rPr>
                <w:b/>
                <w:bCs/>
                <w:color w:val="000000"/>
                <w:lang w:val="en-ID" w:eastAsia="en-ID"/>
              </w:rPr>
            </w:pPr>
            <w:r w:rsidRPr="00215BF8">
              <w:rPr>
                <w:b/>
                <w:bCs/>
                <w:color w:val="000000"/>
                <w:lang w:val="en-ID" w:eastAsia="en-ID"/>
              </w:rPr>
              <w:t>Variables</w:t>
            </w:r>
          </w:p>
        </w:tc>
        <w:tc>
          <w:tcPr>
            <w:tcW w:w="7298" w:type="dxa"/>
            <w:gridSpan w:val="6"/>
            <w:tcBorders>
              <w:top w:val="single" w:sz="4" w:space="0" w:color="auto"/>
              <w:bottom w:val="single" w:sz="4" w:space="0" w:color="auto"/>
            </w:tcBorders>
            <w:noWrap/>
            <w:vAlign w:val="center"/>
            <w:hideMark/>
          </w:tcPr>
          <w:p w14:paraId="0D832E08" w14:textId="76F6D048" w:rsidR="00FA5A7B" w:rsidRPr="00FA5A7B" w:rsidRDefault="00215BF8" w:rsidP="007545A7">
            <w:pPr>
              <w:rPr>
                <w:b/>
                <w:bCs/>
                <w:color w:val="000000"/>
                <w:lang w:val="en-ID" w:eastAsia="en-ID"/>
              </w:rPr>
            </w:pPr>
            <w:r w:rsidRPr="00215BF8">
              <w:rPr>
                <w:b/>
                <w:bCs/>
                <w:color w:val="000000"/>
                <w:lang w:val="en-ID" w:eastAsia="en-ID"/>
              </w:rPr>
              <w:t>pH Per Time (Minutes)</w:t>
            </w:r>
          </w:p>
        </w:tc>
      </w:tr>
      <w:tr w:rsidR="008B50FC" w:rsidRPr="00FA5A7B" w14:paraId="3F3C791B" w14:textId="77777777" w:rsidTr="007545A7">
        <w:trPr>
          <w:trHeight w:val="506"/>
          <w:jc w:val="center"/>
        </w:trPr>
        <w:tc>
          <w:tcPr>
            <w:tcW w:w="1070" w:type="dxa"/>
            <w:vMerge/>
            <w:tcBorders>
              <w:bottom w:val="single" w:sz="4" w:space="0" w:color="auto"/>
            </w:tcBorders>
            <w:vAlign w:val="center"/>
            <w:hideMark/>
          </w:tcPr>
          <w:p w14:paraId="44F97C04" w14:textId="77777777" w:rsidR="00FA5A7B" w:rsidRPr="00FA5A7B" w:rsidRDefault="00FA5A7B" w:rsidP="007545A7">
            <w:pPr>
              <w:rPr>
                <w:b/>
                <w:bCs/>
                <w:color w:val="000000"/>
                <w:lang w:val="en-ID" w:eastAsia="en-ID"/>
              </w:rPr>
            </w:pPr>
          </w:p>
        </w:tc>
        <w:tc>
          <w:tcPr>
            <w:tcW w:w="861" w:type="dxa"/>
            <w:tcBorders>
              <w:top w:val="single" w:sz="4" w:space="0" w:color="auto"/>
              <w:bottom w:val="single" w:sz="4" w:space="0" w:color="auto"/>
            </w:tcBorders>
            <w:noWrap/>
            <w:vAlign w:val="center"/>
            <w:hideMark/>
          </w:tcPr>
          <w:p w14:paraId="32178849" w14:textId="77777777" w:rsidR="00FA5A7B" w:rsidRPr="00FA5A7B" w:rsidRDefault="00FA5A7B" w:rsidP="007545A7">
            <w:pPr>
              <w:rPr>
                <w:b/>
                <w:bCs/>
                <w:color w:val="000000"/>
                <w:lang w:val="en-ID" w:eastAsia="en-ID"/>
              </w:rPr>
            </w:pPr>
            <w:r w:rsidRPr="00FA5A7B">
              <w:rPr>
                <w:b/>
                <w:bCs/>
                <w:color w:val="000000"/>
                <w:lang w:val="en-ID" w:eastAsia="en-ID"/>
              </w:rPr>
              <w:t>0</w:t>
            </w:r>
          </w:p>
        </w:tc>
        <w:tc>
          <w:tcPr>
            <w:tcW w:w="1172" w:type="dxa"/>
            <w:tcBorders>
              <w:top w:val="single" w:sz="4" w:space="0" w:color="auto"/>
              <w:bottom w:val="single" w:sz="4" w:space="0" w:color="auto"/>
            </w:tcBorders>
            <w:noWrap/>
            <w:vAlign w:val="center"/>
            <w:hideMark/>
          </w:tcPr>
          <w:p w14:paraId="4BD42266" w14:textId="77777777" w:rsidR="00FA5A7B" w:rsidRPr="00FA5A7B" w:rsidRDefault="00FA5A7B" w:rsidP="007545A7">
            <w:pPr>
              <w:rPr>
                <w:b/>
                <w:bCs/>
                <w:color w:val="000000"/>
                <w:lang w:val="en-ID" w:eastAsia="en-ID"/>
              </w:rPr>
            </w:pPr>
            <w:r w:rsidRPr="00FA5A7B">
              <w:rPr>
                <w:b/>
                <w:bCs/>
                <w:color w:val="000000"/>
                <w:lang w:val="en-ID" w:eastAsia="en-ID"/>
              </w:rPr>
              <w:t>5</w:t>
            </w:r>
          </w:p>
        </w:tc>
        <w:tc>
          <w:tcPr>
            <w:tcW w:w="1172" w:type="dxa"/>
            <w:tcBorders>
              <w:top w:val="single" w:sz="4" w:space="0" w:color="auto"/>
              <w:bottom w:val="single" w:sz="4" w:space="0" w:color="auto"/>
            </w:tcBorders>
            <w:noWrap/>
            <w:vAlign w:val="center"/>
            <w:hideMark/>
          </w:tcPr>
          <w:p w14:paraId="243880A4" w14:textId="77777777" w:rsidR="00FA5A7B" w:rsidRPr="00FA5A7B" w:rsidRDefault="00FA5A7B" w:rsidP="007545A7">
            <w:pPr>
              <w:rPr>
                <w:b/>
                <w:bCs/>
                <w:color w:val="000000"/>
                <w:lang w:val="en-ID" w:eastAsia="en-ID"/>
              </w:rPr>
            </w:pPr>
            <w:r w:rsidRPr="00FA5A7B">
              <w:rPr>
                <w:b/>
                <w:bCs/>
                <w:color w:val="000000"/>
                <w:lang w:val="en-ID" w:eastAsia="en-ID"/>
              </w:rPr>
              <w:t>15</w:t>
            </w:r>
          </w:p>
        </w:tc>
        <w:tc>
          <w:tcPr>
            <w:tcW w:w="1172" w:type="dxa"/>
            <w:tcBorders>
              <w:top w:val="single" w:sz="4" w:space="0" w:color="auto"/>
              <w:bottom w:val="single" w:sz="4" w:space="0" w:color="auto"/>
            </w:tcBorders>
            <w:noWrap/>
            <w:vAlign w:val="center"/>
            <w:hideMark/>
          </w:tcPr>
          <w:p w14:paraId="26ABE866" w14:textId="77777777" w:rsidR="00FA5A7B" w:rsidRPr="00FA5A7B" w:rsidRDefault="00FA5A7B" w:rsidP="007545A7">
            <w:pPr>
              <w:rPr>
                <w:b/>
                <w:bCs/>
                <w:color w:val="000000"/>
                <w:lang w:val="en-ID" w:eastAsia="en-ID"/>
              </w:rPr>
            </w:pPr>
            <w:r w:rsidRPr="00FA5A7B">
              <w:rPr>
                <w:b/>
                <w:bCs/>
                <w:color w:val="000000"/>
                <w:lang w:val="en-ID" w:eastAsia="en-ID"/>
              </w:rPr>
              <w:t>30</w:t>
            </w:r>
          </w:p>
        </w:tc>
        <w:tc>
          <w:tcPr>
            <w:tcW w:w="861" w:type="dxa"/>
            <w:tcBorders>
              <w:top w:val="single" w:sz="4" w:space="0" w:color="auto"/>
              <w:bottom w:val="single" w:sz="4" w:space="0" w:color="auto"/>
            </w:tcBorders>
            <w:noWrap/>
            <w:vAlign w:val="center"/>
            <w:hideMark/>
          </w:tcPr>
          <w:p w14:paraId="2BFF5C36" w14:textId="77777777" w:rsidR="00FA5A7B" w:rsidRPr="00FA5A7B" w:rsidRDefault="00FA5A7B" w:rsidP="007545A7">
            <w:pPr>
              <w:rPr>
                <w:b/>
                <w:bCs/>
                <w:color w:val="000000"/>
                <w:lang w:val="en-ID" w:eastAsia="en-ID"/>
              </w:rPr>
            </w:pPr>
            <w:r w:rsidRPr="00FA5A7B">
              <w:rPr>
                <w:b/>
                <w:bCs/>
                <w:color w:val="000000"/>
                <w:lang w:val="en-ID" w:eastAsia="en-ID"/>
              </w:rPr>
              <w:t>60</w:t>
            </w:r>
          </w:p>
        </w:tc>
        <w:tc>
          <w:tcPr>
            <w:tcW w:w="2060" w:type="dxa"/>
            <w:tcBorders>
              <w:top w:val="single" w:sz="4" w:space="0" w:color="auto"/>
              <w:bottom w:val="single" w:sz="4" w:space="0" w:color="auto"/>
            </w:tcBorders>
            <w:noWrap/>
            <w:vAlign w:val="center"/>
            <w:hideMark/>
          </w:tcPr>
          <w:p w14:paraId="7E813E35" w14:textId="77777777" w:rsidR="00FA5A7B" w:rsidRPr="00FA5A7B" w:rsidRDefault="00FA5A7B" w:rsidP="007545A7">
            <w:pPr>
              <w:rPr>
                <w:b/>
                <w:bCs/>
                <w:color w:val="000000"/>
                <w:lang w:val="en-ID" w:eastAsia="en-ID"/>
              </w:rPr>
            </w:pPr>
            <w:r w:rsidRPr="00FA5A7B">
              <w:rPr>
                <w:b/>
                <w:bCs/>
                <w:color w:val="000000"/>
                <w:lang w:val="en-ID" w:eastAsia="en-ID"/>
              </w:rPr>
              <w:t>90</w:t>
            </w:r>
          </w:p>
        </w:tc>
      </w:tr>
      <w:tr w:rsidR="007545A7" w:rsidRPr="00FA5A7B" w14:paraId="543369A1" w14:textId="77777777" w:rsidTr="007545A7">
        <w:trPr>
          <w:trHeight w:val="506"/>
          <w:jc w:val="center"/>
        </w:trPr>
        <w:tc>
          <w:tcPr>
            <w:tcW w:w="1070" w:type="dxa"/>
            <w:tcBorders>
              <w:top w:val="single" w:sz="4" w:space="0" w:color="auto"/>
            </w:tcBorders>
            <w:noWrap/>
            <w:vAlign w:val="center"/>
            <w:hideMark/>
          </w:tcPr>
          <w:p w14:paraId="0DFED269" w14:textId="77777777" w:rsidR="007545A7" w:rsidRPr="00FA5A7B" w:rsidRDefault="007545A7" w:rsidP="007545A7">
            <w:pPr>
              <w:rPr>
                <w:color w:val="000000"/>
                <w:lang w:val="en-ID" w:eastAsia="en-ID"/>
              </w:rPr>
            </w:pPr>
            <w:r w:rsidRPr="00FA5A7B">
              <w:rPr>
                <w:color w:val="000000"/>
                <w:lang w:val="en-ID" w:eastAsia="en-ID"/>
              </w:rPr>
              <w:t>V1</w:t>
            </w:r>
          </w:p>
        </w:tc>
        <w:tc>
          <w:tcPr>
            <w:tcW w:w="861" w:type="dxa"/>
            <w:tcBorders>
              <w:top w:val="single" w:sz="4" w:space="0" w:color="auto"/>
            </w:tcBorders>
            <w:noWrap/>
            <w:vAlign w:val="center"/>
            <w:hideMark/>
          </w:tcPr>
          <w:p w14:paraId="03DAB235" w14:textId="323169F2" w:rsidR="007545A7" w:rsidRPr="00FA5A7B" w:rsidRDefault="007545A7" w:rsidP="007545A7">
            <w:pPr>
              <w:rPr>
                <w:color w:val="000000"/>
                <w:lang w:val="en-ID" w:eastAsia="en-ID"/>
              </w:rPr>
            </w:pPr>
            <w:r w:rsidRPr="00A5012B">
              <w:t>2,6</w:t>
            </w:r>
          </w:p>
        </w:tc>
        <w:tc>
          <w:tcPr>
            <w:tcW w:w="1172" w:type="dxa"/>
            <w:tcBorders>
              <w:top w:val="single" w:sz="4" w:space="0" w:color="auto"/>
            </w:tcBorders>
            <w:noWrap/>
            <w:vAlign w:val="center"/>
            <w:hideMark/>
          </w:tcPr>
          <w:p w14:paraId="77F3473C" w14:textId="7E6C5121" w:rsidR="007545A7" w:rsidRPr="00FA5A7B" w:rsidRDefault="007545A7" w:rsidP="007545A7">
            <w:pPr>
              <w:rPr>
                <w:color w:val="000000"/>
                <w:lang w:val="en-ID" w:eastAsia="en-ID"/>
              </w:rPr>
            </w:pPr>
            <w:r w:rsidRPr="00A5012B">
              <w:t>2,68</w:t>
            </w:r>
          </w:p>
        </w:tc>
        <w:tc>
          <w:tcPr>
            <w:tcW w:w="1172" w:type="dxa"/>
            <w:tcBorders>
              <w:top w:val="single" w:sz="4" w:space="0" w:color="auto"/>
            </w:tcBorders>
            <w:noWrap/>
            <w:vAlign w:val="center"/>
            <w:hideMark/>
          </w:tcPr>
          <w:p w14:paraId="4B00BA8A" w14:textId="449CE9B4" w:rsidR="007545A7" w:rsidRPr="00FA5A7B" w:rsidRDefault="007545A7" w:rsidP="007545A7">
            <w:pPr>
              <w:rPr>
                <w:color w:val="000000"/>
                <w:lang w:val="en-ID" w:eastAsia="en-ID"/>
              </w:rPr>
            </w:pPr>
            <w:r w:rsidRPr="00A5012B">
              <w:t>3,5</w:t>
            </w:r>
          </w:p>
        </w:tc>
        <w:tc>
          <w:tcPr>
            <w:tcW w:w="1172" w:type="dxa"/>
            <w:tcBorders>
              <w:top w:val="single" w:sz="4" w:space="0" w:color="auto"/>
            </w:tcBorders>
            <w:noWrap/>
            <w:vAlign w:val="center"/>
            <w:hideMark/>
          </w:tcPr>
          <w:p w14:paraId="76010FC7" w14:textId="6EFAADE8" w:rsidR="007545A7" w:rsidRPr="00FA5A7B" w:rsidRDefault="007545A7" w:rsidP="007545A7">
            <w:pPr>
              <w:rPr>
                <w:color w:val="000000"/>
                <w:lang w:val="en-ID" w:eastAsia="en-ID"/>
              </w:rPr>
            </w:pPr>
            <w:r w:rsidRPr="00A5012B">
              <w:t>3,65</w:t>
            </w:r>
          </w:p>
        </w:tc>
        <w:tc>
          <w:tcPr>
            <w:tcW w:w="861" w:type="dxa"/>
            <w:tcBorders>
              <w:top w:val="single" w:sz="4" w:space="0" w:color="auto"/>
            </w:tcBorders>
            <w:noWrap/>
            <w:vAlign w:val="center"/>
            <w:hideMark/>
          </w:tcPr>
          <w:p w14:paraId="21C748B8" w14:textId="57F1A8D4" w:rsidR="007545A7" w:rsidRPr="00FA5A7B" w:rsidRDefault="007545A7" w:rsidP="007545A7">
            <w:pPr>
              <w:rPr>
                <w:color w:val="000000"/>
                <w:lang w:val="en-ID" w:eastAsia="en-ID"/>
              </w:rPr>
            </w:pPr>
            <w:r w:rsidRPr="00A5012B">
              <w:t>3,72</w:t>
            </w:r>
          </w:p>
        </w:tc>
        <w:tc>
          <w:tcPr>
            <w:tcW w:w="2060" w:type="dxa"/>
            <w:tcBorders>
              <w:top w:val="single" w:sz="4" w:space="0" w:color="auto"/>
            </w:tcBorders>
            <w:noWrap/>
            <w:vAlign w:val="center"/>
            <w:hideMark/>
          </w:tcPr>
          <w:p w14:paraId="753D8565" w14:textId="68178BAB" w:rsidR="007545A7" w:rsidRPr="00FA5A7B" w:rsidRDefault="007545A7" w:rsidP="007545A7">
            <w:pPr>
              <w:rPr>
                <w:color w:val="000000"/>
                <w:lang w:val="en-ID" w:eastAsia="en-ID"/>
              </w:rPr>
            </w:pPr>
            <w:r w:rsidRPr="00A5012B">
              <w:t>3,81</w:t>
            </w:r>
          </w:p>
        </w:tc>
      </w:tr>
      <w:tr w:rsidR="007545A7" w:rsidRPr="00FA5A7B" w14:paraId="4C7BA8E1" w14:textId="77777777" w:rsidTr="007545A7">
        <w:trPr>
          <w:trHeight w:val="506"/>
          <w:jc w:val="center"/>
        </w:trPr>
        <w:tc>
          <w:tcPr>
            <w:tcW w:w="1070" w:type="dxa"/>
            <w:noWrap/>
            <w:vAlign w:val="center"/>
            <w:hideMark/>
          </w:tcPr>
          <w:p w14:paraId="53681BBB" w14:textId="77777777" w:rsidR="007545A7" w:rsidRPr="00FA5A7B" w:rsidRDefault="007545A7" w:rsidP="007545A7">
            <w:pPr>
              <w:rPr>
                <w:color w:val="000000"/>
                <w:lang w:val="en-ID" w:eastAsia="en-ID"/>
              </w:rPr>
            </w:pPr>
            <w:r w:rsidRPr="00FA5A7B">
              <w:rPr>
                <w:color w:val="000000"/>
                <w:lang w:val="en-ID" w:eastAsia="en-ID"/>
              </w:rPr>
              <w:t>V2</w:t>
            </w:r>
          </w:p>
        </w:tc>
        <w:tc>
          <w:tcPr>
            <w:tcW w:w="861" w:type="dxa"/>
            <w:noWrap/>
            <w:vAlign w:val="center"/>
            <w:hideMark/>
          </w:tcPr>
          <w:p w14:paraId="5BFCB165" w14:textId="015EEE79" w:rsidR="007545A7" w:rsidRPr="00FA5A7B" w:rsidRDefault="007545A7" w:rsidP="007545A7">
            <w:pPr>
              <w:rPr>
                <w:color w:val="000000"/>
                <w:lang w:val="en-ID" w:eastAsia="en-ID"/>
              </w:rPr>
            </w:pPr>
            <w:r w:rsidRPr="00A5012B">
              <w:t>2,6</w:t>
            </w:r>
          </w:p>
        </w:tc>
        <w:tc>
          <w:tcPr>
            <w:tcW w:w="1172" w:type="dxa"/>
            <w:noWrap/>
            <w:vAlign w:val="center"/>
            <w:hideMark/>
          </w:tcPr>
          <w:p w14:paraId="082E4F14" w14:textId="41C0CEEF" w:rsidR="007545A7" w:rsidRPr="00FA5A7B" w:rsidRDefault="007545A7" w:rsidP="007545A7">
            <w:pPr>
              <w:rPr>
                <w:color w:val="000000"/>
                <w:lang w:val="en-ID" w:eastAsia="en-ID"/>
              </w:rPr>
            </w:pPr>
            <w:r w:rsidRPr="00A5012B">
              <w:t>2,7</w:t>
            </w:r>
          </w:p>
        </w:tc>
        <w:tc>
          <w:tcPr>
            <w:tcW w:w="1172" w:type="dxa"/>
            <w:noWrap/>
            <w:vAlign w:val="center"/>
            <w:hideMark/>
          </w:tcPr>
          <w:p w14:paraId="739C6E81" w14:textId="5C9AFD28" w:rsidR="007545A7" w:rsidRPr="00FA5A7B" w:rsidRDefault="007545A7" w:rsidP="007545A7">
            <w:pPr>
              <w:rPr>
                <w:color w:val="000000"/>
                <w:lang w:val="en-ID" w:eastAsia="en-ID"/>
              </w:rPr>
            </w:pPr>
            <w:r w:rsidRPr="00A5012B">
              <w:t>3,53</w:t>
            </w:r>
          </w:p>
        </w:tc>
        <w:tc>
          <w:tcPr>
            <w:tcW w:w="1172" w:type="dxa"/>
            <w:noWrap/>
            <w:vAlign w:val="center"/>
            <w:hideMark/>
          </w:tcPr>
          <w:p w14:paraId="53484C90" w14:textId="22D9270C" w:rsidR="007545A7" w:rsidRPr="00FA5A7B" w:rsidRDefault="007545A7" w:rsidP="007545A7">
            <w:pPr>
              <w:rPr>
                <w:color w:val="000000"/>
                <w:lang w:val="en-ID" w:eastAsia="en-ID"/>
              </w:rPr>
            </w:pPr>
            <w:r w:rsidRPr="00A5012B">
              <w:t>3,88</w:t>
            </w:r>
          </w:p>
        </w:tc>
        <w:tc>
          <w:tcPr>
            <w:tcW w:w="861" w:type="dxa"/>
            <w:noWrap/>
            <w:vAlign w:val="center"/>
            <w:hideMark/>
          </w:tcPr>
          <w:p w14:paraId="17AE1A57" w14:textId="60C040F1" w:rsidR="007545A7" w:rsidRPr="00FA5A7B" w:rsidRDefault="007545A7" w:rsidP="007545A7">
            <w:pPr>
              <w:rPr>
                <w:color w:val="000000"/>
                <w:lang w:val="en-ID" w:eastAsia="en-ID"/>
              </w:rPr>
            </w:pPr>
            <w:r w:rsidRPr="00A5012B">
              <w:t>4,2</w:t>
            </w:r>
          </w:p>
        </w:tc>
        <w:tc>
          <w:tcPr>
            <w:tcW w:w="2060" w:type="dxa"/>
            <w:noWrap/>
            <w:vAlign w:val="center"/>
            <w:hideMark/>
          </w:tcPr>
          <w:p w14:paraId="0D352FE9" w14:textId="6AC11AF5" w:rsidR="007545A7" w:rsidRPr="00FA5A7B" w:rsidRDefault="007545A7" w:rsidP="007545A7">
            <w:pPr>
              <w:rPr>
                <w:color w:val="000000"/>
                <w:lang w:val="en-ID" w:eastAsia="en-ID"/>
              </w:rPr>
            </w:pPr>
            <w:r w:rsidRPr="00A5012B">
              <w:t>5,6</w:t>
            </w:r>
          </w:p>
        </w:tc>
      </w:tr>
      <w:tr w:rsidR="007545A7" w:rsidRPr="00FA5A7B" w14:paraId="456FE370" w14:textId="77777777" w:rsidTr="007545A7">
        <w:trPr>
          <w:trHeight w:val="506"/>
          <w:jc w:val="center"/>
        </w:trPr>
        <w:tc>
          <w:tcPr>
            <w:tcW w:w="1070" w:type="dxa"/>
            <w:noWrap/>
            <w:vAlign w:val="center"/>
            <w:hideMark/>
          </w:tcPr>
          <w:p w14:paraId="3F0A9229" w14:textId="77777777" w:rsidR="007545A7" w:rsidRPr="00FA5A7B" w:rsidRDefault="007545A7" w:rsidP="007545A7">
            <w:pPr>
              <w:rPr>
                <w:color w:val="000000"/>
                <w:lang w:val="en-ID" w:eastAsia="en-ID"/>
              </w:rPr>
            </w:pPr>
            <w:r w:rsidRPr="00FA5A7B">
              <w:rPr>
                <w:color w:val="000000"/>
                <w:lang w:val="en-ID" w:eastAsia="en-ID"/>
              </w:rPr>
              <w:t>V3</w:t>
            </w:r>
          </w:p>
        </w:tc>
        <w:tc>
          <w:tcPr>
            <w:tcW w:w="861" w:type="dxa"/>
            <w:noWrap/>
            <w:vAlign w:val="center"/>
            <w:hideMark/>
          </w:tcPr>
          <w:p w14:paraId="1396013E" w14:textId="23A7F8BD" w:rsidR="007545A7" w:rsidRPr="00FA5A7B" w:rsidRDefault="007545A7" w:rsidP="007545A7">
            <w:pPr>
              <w:rPr>
                <w:color w:val="000000"/>
                <w:lang w:val="en-ID" w:eastAsia="en-ID"/>
              </w:rPr>
            </w:pPr>
            <w:r w:rsidRPr="00A5012B">
              <w:t>2,6</w:t>
            </w:r>
          </w:p>
        </w:tc>
        <w:tc>
          <w:tcPr>
            <w:tcW w:w="1172" w:type="dxa"/>
            <w:noWrap/>
            <w:vAlign w:val="center"/>
            <w:hideMark/>
          </w:tcPr>
          <w:p w14:paraId="7CBA72E6" w14:textId="1E51B747" w:rsidR="007545A7" w:rsidRPr="00FA5A7B" w:rsidRDefault="007545A7" w:rsidP="007545A7">
            <w:pPr>
              <w:rPr>
                <w:color w:val="000000"/>
                <w:lang w:val="en-ID" w:eastAsia="en-ID"/>
              </w:rPr>
            </w:pPr>
            <w:r w:rsidRPr="00A5012B">
              <w:t>2,72</w:t>
            </w:r>
          </w:p>
        </w:tc>
        <w:tc>
          <w:tcPr>
            <w:tcW w:w="1172" w:type="dxa"/>
            <w:noWrap/>
            <w:vAlign w:val="center"/>
            <w:hideMark/>
          </w:tcPr>
          <w:p w14:paraId="17D6D76B" w14:textId="1806CCFA" w:rsidR="007545A7" w:rsidRPr="00FA5A7B" w:rsidRDefault="007545A7" w:rsidP="007545A7">
            <w:pPr>
              <w:rPr>
                <w:color w:val="000000"/>
                <w:lang w:val="en-ID" w:eastAsia="en-ID"/>
              </w:rPr>
            </w:pPr>
            <w:r w:rsidRPr="00A5012B">
              <w:t>3,58</w:t>
            </w:r>
          </w:p>
        </w:tc>
        <w:tc>
          <w:tcPr>
            <w:tcW w:w="1172" w:type="dxa"/>
            <w:noWrap/>
            <w:vAlign w:val="center"/>
            <w:hideMark/>
          </w:tcPr>
          <w:p w14:paraId="2812F312" w14:textId="0811BA29" w:rsidR="007545A7" w:rsidRPr="00FA5A7B" w:rsidRDefault="007545A7" w:rsidP="007545A7">
            <w:pPr>
              <w:rPr>
                <w:color w:val="000000"/>
                <w:lang w:val="en-ID" w:eastAsia="en-ID"/>
              </w:rPr>
            </w:pPr>
            <w:r w:rsidRPr="00A5012B">
              <w:t>5</w:t>
            </w:r>
          </w:p>
        </w:tc>
        <w:tc>
          <w:tcPr>
            <w:tcW w:w="861" w:type="dxa"/>
            <w:noWrap/>
            <w:vAlign w:val="center"/>
            <w:hideMark/>
          </w:tcPr>
          <w:p w14:paraId="7A03D326" w14:textId="6E439B90" w:rsidR="007545A7" w:rsidRPr="00FA5A7B" w:rsidRDefault="007545A7" w:rsidP="007545A7">
            <w:pPr>
              <w:rPr>
                <w:color w:val="000000"/>
                <w:lang w:val="en-ID" w:eastAsia="en-ID"/>
              </w:rPr>
            </w:pPr>
            <w:r w:rsidRPr="00A5012B">
              <w:t>7,2</w:t>
            </w:r>
          </w:p>
        </w:tc>
        <w:tc>
          <w:tcPr>
            <w:tcW w:w="2060" w:type="dxa"/>
            <w:noWrap/>
            <w:vAlign w:val="center"/>
            <w:hideMark/>
          </w:tcPr>
          <w:p w14:paraId="7FC8624B" w14:textId="36F5F5B0" w:rsidR="007545A7" w:rsidRPr="00FA5A7B" w:rsidRDefault="007545A7" w:rsidP="007545A7">
            <w:pPr>
              <w:rPr>
                <w:color w:val="000000"/>
                <w:lang w:val="en-ID" w:eastAsia="en-ID"/>
              </w:rPr>
            </w:pPr>
            <w:r w:rsidRPr="00A5012B">
              <w:t>7,26</w:t>
            </w:r>
          </w:p>
        </w:tc>
      </w:tr>
      <w:tr w:rsidR="007545A7" w:rsidRPr="00FA5A7B" w14:paraId="61111E23" w14:textId="77777777" w:rsidTr="007545A7">
        <w:trPr>
          <w:trHeight w:val="506"/>
          <w:jc w:val="center"/>
        </w:trPr>
        <w:tc>
          <w:tcPr>
            <w:tcW w:w="1070" w:type="dxa"/>
            <w:noWrap/>
            <w:vAlign w:val="center"/>
            <w:hideMark/>
          </w:tcPr>
          <w:p w14:paraId="707513D4" w14:textId="77777777" w:rsidR="007545A7" w:rsidRPr="00FA5A7B" w:rsidRDefault="007545A7" w:rsidP="007545A7">
            <w:pPr>
              <w:rPr>
                <w:color w:val="000000"/>
                <w:lang w:val="en-ID" w:eastAsia="en-ID"/>
              </w:rPr>
            </w:pPr>
            <w:r w:rsidRPr="00FA5A7B">
              <w:rPr>
                <w:color w:val="000000"/>
                <w:lang w:val="en-ID" w:eastAsia="en-ID"/>
              </w:rPr>
              <w:lastRenderedPageBreak/>
              <w:t>V4</w:t>
            </w:r>
          </w:p>
        </w:tc>
        <w:tc>
          <w:tcPr>
            <w:tcW w:w="861" w:type="dxa"/>
            <w:noWrap/>
            <w:vAlign w:val="center"/>
            <w:hideMark/>
          </w:tcPr>
          <w:p w14:paraId="5686AB8B" w14:textId="52409D14" w:rsidR="007545A7" w:rsidRPr="00FA5A7B" w:rsidRDefault="007545A7" w:rsidP="007545A7">
            <w:pPr>
              <w:rPr>
                <w:color w:val="000000"/>
                <w:lang w:val="en-ID" w:eastAsia="en-ID"/>
              </w:rPr>
            </w:pPr>
            <w:r w:rsidRPr="00A5012B">
              <w:t>2,6</w:t>
            </w:r>
          </w:p>
        </w:tc>
        <w:tc>
          <w:tcPr>
            <w:tcW w:w="1172" w:type="dxa"/>
            <w:noWrap/>
            <w:vAlign w:val="center"/>
            <w:hideMark/>
          </w:tcPr>
          <w:p w14:paraId="076FD355" w14:textId="35149E56" w:rsidR="007545A7" w:rsidRPr="00FA5A7B" w:rsidRDefault="007545A7" w:rsidP="007545A7">
            <w:pPr>
              <w:rPr>
                <w:color w:val="000000"/>
                <w:lang w:val="en-ID" w:eastAsia="en-ID"/>
              </w:rPr>
            </w:pPr>
            <w:r w:rsidRPr="00A5012B">
              <w:t>2,89</w:t>
            </w:r>
          </w:p>
        </w:tc>
        <w:tc>
          <w:tcPr>
            <w:tcW w:w="1172" w:type="dxa"/>
            <w:noWrap/>
            <w:vAlign w:val="center"/>
            <w:hideMark/>
          </w:tcPr>
          <w:p w14:paraId="680B2391" w14:textId="0B792362" w:rsidR="007545A7" w:rsidRPr="00FA5A7B" w:rsidRDefault="007545A7" w:rsidP="007545A7">
            <w:pPr>
              <w:rPr>
                <w:color w:val="000000"/>
                <w:lang w:val="en-ID" w:eastAsia="en-ID"/>
              </w:rPr>
            </w:pPr>
            <w:r w:rsidRPr="00A5012B">
              <w:t>4,3</w:t>
            </w:r>
          </w:p>
        </w:tc>
        <w:tc>
          <w:tcPr>
            <w:tcW w:w="1172" w:type="dxa"/>
            <w:noWrap/>
            <w:vAlign w:val="center"/>
            <w:hideMark/>
          </w:tcPr>
          <w:p w14:paraId="0E605AA7" w14:textId="158821D5" w:rsidR="007545A7" w:rsidRPr="00FA5A7B" w:rsidRDefault="007545A7" w:rsidP="007545A7">
            <w:pPr>
              <w:rPr>
                <w:color w:val="000000"/>
                <w:lang w:val="en-ID" w:eastAsia="en-ID"/>
              </w:rPr>
            </w:pPr>
            <w:r w:rsidRPr="00A5012B">
              <w:t>6,8</w:t>
            </w:r>
          </w:p>
        </w:tc>
        <w:tc>
          <w:tcPr>
            <w:tcW w:w="861" w:type="dxa"/>
            <w:noWrap/>
            <w:vAlign w:val="center"/>
            <w:hideMark/>
          </w:tcPr>
          <w:p w14:paraId="21827E81" w14:textId="23E491E7" w:rsidR="007545A7" w:rsidRPr="00FA5A7B" w:rsidRDefault="007545A7" w:rsidP="007545A7">
            <w:pPr>
              <w:rPr>
                <w:color w:val="000000"/>
                <w:lang w:val="en-ID" w:eastAsia="en-ID"/>
              </w:rPr>
            </w:pPr>
            <w:r w:rsidRPr="00A5012B">
              <w:t>8,02</w:t>
            </w:r>
          </w:p>
        </w:tc>
        <w:tc>
          <w:tcPr>
            <w:tcW w:w="2060" w:type="dxa"/>
            <w:noWrap/>
            <w:vAlign w:val="center"/>
            <w:hideMark/>
          </w:tcPr>
          <w:p w14:paraId="263BD96E" w14:textId="1E98B192" w:rsidR="007545A7" w:rsidRPr="00FA5A7B" w:rsidRDefault="007545A7" w:rsidP="007545A7">
            <w:pPr>
              <w:rPr>
                <w:color w:val="000000"/>
                <w:lang w:val="en-ID" w:eastAsia="en-ID"/>
              </w:rPr>
            </w:pPr>
            <w:r w:rsidRPr="00A5012B">
              <w:t>8,02</w:t>
            </w:r>
          </w:p>
        </w:tc>
      </w:tr>
      <w:tr w:rsidR="007545A7" w:rsidRPr="00FA5A7B" w14:paraId="14E4F398" w14:textId="77777777" w:rsidTr="007545A7">
        <w:trPr>
          <w:trHeight w:val="506"/>
          <w:jc w:val="center"/>
        </w:trPr>
        <w:tc>
          <w:tcPr>
            <w:tcW w:w="1070" w:type="dxa"/>
            <w:tcBorders>
              <w:bottom w:val="single" w:sz="4" w:space="0" w:color="auto"/>
            </w:tcBorders>
            <w:noWrap/>
            <w:vAlign w:val="center"/>
            <w:hideMark/>
          </w:tcPr>
          <w:p w14:paraId="68BE0200" w14:textId="77777777" w:rsidR="007545A7" w:rsidRPr="00FA5A7B" w:rsidRDefault="007545A7" w:rsidP="007545A7">
            <w:pPr>
              <w:rPr>
                <w:color w:val="000000"/>
                <w:lang w:val="en-ID" w:eastAsia="en-ID"/>
              </w:rPr>
            </w:pPr>
            <w:r w:rsidRPr="00FA5A7B">
              <w:rPr>
                <w:color w:val="000000"/>
                <w:lang w:val="en-ID" w:eastAsia="en-ID"/>
              </w:rPr>
              <w:t>V5</w:t>
            </w:r>
          </w:p>
        </w:tc>
        <w:tc>
          <w:tcPr>
            <w:tcW w:w="861" w:type="dxa"/>
            <w:tcBorders>
              <w:bottom w:val="single" w:sz="4" w:space="0" w:color="auto"/>
            </w:tcBorders>
            <w:noWrap/>
            <w:vAlign w:val="center"/>
            <w:hideMark/>
          </w:tcPr>
          <w:p w14:paraId="5C5F994F" w14:textId="6C26695C" w:rsidR="007545A7" w:rsidRPr="00FA5A7B" w:rsidRDefault="007545A7" w:rsidP="007545A7">
            <w:pPr>
              <w:rPr>
                <w:color w:val="000000"/>
                <w:lang w:val="en-ID" w:eastAsia="en-ID"/>
              </w:rPr>
            </w:pPr>
            <w:r w:rsidRPr="00A5012B">
              <w:t>2,6</w:t>
            </w:r>
          </w:p>
        </w:tc>
        <w:tc>
          <w:tcPr>
            <w:tcW w:w="1172" w:type="dxa"/>
            <w:tcBorders>
              <w:bottom w:val="single" w:sz="4" w:space="0" w:color="auto"/>
            </w:tcBorders>
            <w:noWrap/>
            <w:vAlign w:val="center"/>
            <w:hideMark/>
          </w:tcPr>
          <w:p w14:paraId="5A894756" w14:textId="06E26A3A" w:rsidR="007545A7" w:rsidRPr="00FA5A7B" w:rsidRDefault="007545A7" w:rsidP="007545A7">
            <w:pPr>
              <w:rPr>
                <w:color w:val="000000"/>
                <w:lang w:val="en-ID" w:eastAsia="en-ID"/>
              </w:rPr>
            </w:pPr>
            <w:r w:rsidRPr="00A5012B">
              <w:t>3,02</w:t>
            </w:r>
          </w:p>
        </w:tc>
        <w:tc>
          <w:tcPr>
            <w:tcW w:w="1172" w:type="dxa"/>
            <w:tcBorders>
              <w:bottom w:val="single" w:sz="4" w:space="0" w:color="auto"/>
            </w:tcBorders>
            <w:noWrap/>
            <w:vAlign w:val="center"/>
            <w:hideMark/>
          </w:tcPr>
          <w:p w14:paraId="5F828DB3" w14:textId="42F78F5A" w:rsidR="007545A7" w:rsidRPr="00FA5A7B" w:rsidRDefault="007545A7" w:rsidP="007545A7">
            <w:pPr>
              <w:rPr>
                <w:color w:val="000000"/>
                <w:lang w:val="en-ID" w:eastAsia="en-ID"/>
              </w:rPr>
            </w:pPr>
            <w:r w:rsidRPr="00A5012B">
              <w:t>4,5</w:t>
            </w:r>
          </w:p>
        </w:tc>
        <w:tc>
          <w:tcPr>
            <w:tcW w:w="1172" w:type="dxa"/>
            <w:tcBorders>
              <w:bottom w:val="single" w:sz="4" w:space="0" w:color="auto"/>
            </w:tcBorders>
            <w:noWrap/>
            <w:vAlign w:val="center"/>
            <w:hideMark/>
          </w:tcPr>
          <w:p w14:paraId="2E82F59A" w14:textId="6809ABB0" w:rsidR="007545A7" w:rsidRPr="00FA5A7B" w:rsidRDefault="007545A7" w:rsidP="007545A7">
            <w:pPr>
              <w:rPr>
                <w:color w:val="000000"/>
                <w:lang w:val="en-ID" w:eastAsia="en-ID"/>
              </w:rPr>
            </w:pPr>
            <w:r w:rsidRPr="00A5012B">
              <w:t>7,3</w:t>
            </w:r>
          </w:p>
        </w:tc>
        <w:tc>
          <w:tcPr>
            <w:tcW w:w="861" w:type="dxa"/>
            <w:tcBorders>
              <w:bottom w:val="single" w:sz="4" w:space="0" w:color="auto"/>
            </w:tcBorders>
            <w:noWrap/>
            <w:vAlign w:val="center"/>
            <w:hideMark/>
          </w:tcPr>
          <w:p w14:paraId="7114EC29" w14:textId="351520AE" w:rsidR="007545A7" w:rsidRPr="00FA5A7B" w:rsidRDefault="007545A7" w:rsidP="007545A7">
            <w:pPr>
              <w:rPr>
                <w:color w:val="000000"/>
                <w:lang w:val="en-ID" w:eastAsia="en-ID"/>
              </w:rPr>
            </w:pPr>
            <w:r w:rsidRPr="00A5012B">
              <w:t>7,6</w:t>
            </w:r>
          </w:p>
        </w:tc>
        <w:tc>
          <w:tcPr>
            <w:tcW w:w="2060" w:type="dxa"/>
            <w:tcBorders>
              <w:bottom w:val="single" w:sz="4" w:space="0" w:color="auto"/>
            </w:tcBorders>
            <w:noWrap/>
            <w:vAlign w:val="center"/>
            <w:hideMark/>
          </w:tcPr>
          <w:p w14:paraId="4AB4CB38" w14:textId="61B18A45" w:rsidR="007545A7" w:rsidRPr="00FA5A7B" w:rsidRDefault="007545A7" w:rsidP="007545A7">
            <w:pPr>
              <w:rPr>
                <w:color w:val="000000"/>
                <w:lang w:val="en-ID" w:eastAsia="en-ID"/>
              </w:rPr>
            </w:pPr>
            <w:r w:rsidRPr="00A5012B">
              <w:t>7,6</w:t>
            </w:r>
          </w:p>
        </w:tc>
      </w:tr>
    </w:tbl>
    <w:p w14:paraId="4DDE3EC5" w14:textId="77777777" w:rsidR="00FA5A7B" w:rsidRDefault="00FA5A7B" w:rsidP="00FA5A7B">
      <w:pPr>
        <w:pStyle w:val="TeksSub-Bab"/>
        <w:ind w:left="142" w:firstLine="0"/>
        <w:jc w:val="center"/>
      </w:pPr>
    </w:p>
    <w:p w14:paraId="255A7A9D" w14:textId="77777777" w:rsidR="00215BF8" w:rsidRDefault="00215BF8" w:rsidP="00215BF8">
      <w:pPr>
        <w:pStyle w:val="TeksSub-Bab"/>
      </w:pPr>
      <w:r w:rsidRPr="00215BF8">
        <w:t>The data from Table 1 above, if displayed in a graph, will more clearly show the changes in the increase in pH of acid mine water at each time in all variables, as shown in Figure 2 below.</w:t>
      </w:r>
    </w:p>
    <w:p w14:paraId="51224AEA" w14:textId="77777777" w:rsidR="00E43552" w:rsidRDefault="00E43552" w:rsidP="00215BF8">
      <w:pPr>
        <w:pStyle w:val="TeksSub-Bab"/>
      </w:pPr>
    </w:p>
    <w:p w14:paraId="62001469" w14:textId="6373886B" w:rsidR="0013517C" w:rsidRDefault="00215BF8" w:rsidP="00215BF8">
      <w:pPr>
        <w:pStyle w:val="TeksSub-Bab"/>
        <w:ind w:left="0" w:firstLine="0"/>
        <w:jc w:val="center"/>
      </w:pPr>
      <w:r>
        <w:rPr>
          <w:noProof/>
        </w:rPr>
        <w:drawing>
          <wp:inline distT="0" distB="0" distL="0" distR="0" wp14:anchorId="624554D3" wp14:editId="18D40855">
            <wp:extent cx="4572000" cy="2743200"/>
            <wp:effectExtent l="0" t="0" r="0" b="0"/>
            <wp:docPr id="1949207463" name="Chart 1">
              <a:extLst xmlns:a="http://schemas.openxmlformats.org/drawingml/2006/main">
                <a:ext uri="{FF2B5EF4-FFF2-40B4-BE49-F238E27FC236}">
                  <a16:creationId xmlns:a16="http://schemas.microsoft.com/office/drawing/2014/main" id="{3732C76F-70BB-9B65-488E-0FA5F47380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12B949" w14:textId="77777777" w:rsidR="0013517C" w:rsidRDefault="00B50122" w:rsidP="0013517C">
      <w:pPr>
        <w:pStyle w:val="TeksSub-Bab"/>
        <w:ind w:left="142" w:firstLine="0"/>
        <w:jc w:val="center"/>
      </w:pPr>
      <w:r>
        <w:t xml:space="preserve"> </w:t>
      </w:r>
    </w:p>
    <w:p w14:paraId="7A95F39B" w14:textId="34666A3D" w:rsidR="00B50122" w:rsidRDefault="00E43552" w:rsidP="0013517C">
      <w:pPr>
        <w:pStyle w:val="TeksSub-Bab"/>
        <w:ind w:left="142" w:firstLine="0"/>
        <w:jc w:val="center"/>
        <w:rPr>
          <w:sz w:val="20"/>
          <w:szCs w:val="20"/>
        </w:rPr>
      </w:pPr>
      <w:r w:rsidRPr="00E43552">
        <w:rPr>
          <w:sz w:val="20"/>
          <w:szCs w:val="20"/>
        </w:rPr>
        <w:t>Figure 2. Graph of pH Changes for Each Time Unit Variable</w:t>
      </w:r>
    </w:p>
    <w:p w14:paraId="4914558C" w14:textId="77777777" w:rsidR="008B50FC" w:rsidRDefault="008B50FC" w:rsidP="0013517C">
      <w:pPr>
        <w:pStyle w:val="TeksSub-Bab"/>
        <w:ind w:left="142" w:firstLine="0"/>
        <w:jc w:val="center"/>
        <w:rPr>
          <w:sz w:val="20"/>
          <w:szCs w:val="20"/>
        </w:rPr>
      </w:pPr>
    </w:p>
    <w:p w14:paraId="01651227" w14:textId="77777777" w:rsidR="00E43552" w:rsidRDefault="00E43552" w:rsidP="00E43552">
      <w:pPr>
        <w:pStyle w:val="TeksSub-Bab"/>
        <w:ind w:left="634" w:firstLine="359"/>
      </w:pPr>
    </w:p>
    <w:p w14:paraId="5B8A322F" w14:textId="2BB60831" w:rsidR="00E43552" w:rsidRDefault="00E43552" w:rsidP="00E43552">
      <w:pPr>
        <w:pStyle w:val="TeksSub-Bab"/>
        <w:ind w:left="634" w:firstLine="359"/>
      </w:pPr>
      <w:r>
        <w:t>Data Based on Figure 2, it can be seen that all treatment variations successfully increased the AMD pH. The most significant pH increase occurred in the first 30 minutes for all variations containing limestone (V2, V3, V4, and V5). This indicates that the neutralization reaction by limestone (CaCO₃) occurs relatively quickly.</w:t>
      </w:r>
    </w:p>
    <w:p w14:paraId="5FB423D1" w14:textId="77777777" w:rsidR="00E43552" w:rsidRDefault="00E43552" w:rsidP="00E43552">
      <w:pPr>
        <w:pStyle w:val="TeksSub-Bab"/>
        <w:ind w:left="634" w:firstLine="359"/>
      </w:pPr>
      <w:r>
        <w:t>In treatment V1 (100% zeolite), the pH increase was very slow and insignificant, reaching only pH 3.81 after 90 minutes. This confirms that the primary role of zeolite is not as an acid-neutralizing agent, but rather through a cation exchange mechanism where zeolite can absorb limited amounts of H⁺ or acid-inducing metal ions such as Al³⁺ and Fe³⁺ (Widyaningrum et al. 2022).</w:t>
      </w:r>
    </w:p>
    <w:p w14:paraId="1CCEF49A" w14:textId="77777777" w:rsidR="00E43552" w:rsidRDefault="00E43552" w:rsidP="00E43552">
      <w:pPr>
        <w:pStyle w:val="TeksSub-Bab"/>
        <w:ind w:left="634" w:firstLine="359"/>
      </w:pPr>
      <w:r>
        <w:t>Treatment V5 (100% limestone) demonstrated very rapid neutralization, reaching a pH of 7.3 in 30 minutes. However, after that, the pH increase slowed and tended to stagnate around 7.6. This slowdown is strongly suspected to be due to the initial formation of a passive layer (armouring) from metal hydroxide deposits on the surface of limestone particles, which prevents further contact with AAT (Sun et al., 2018).</w:t>
      </w:r>
    </w:p>
    <w:p w14:paraId="4A8A6C18" w14:textId="77777777" w:rsidR="00E43552" w:rsidRDefault="00E43552" w:rsidP="00E43552">
      <w:pPr>
        <w:pStyle w:val="TeksSub-Bab"/>
        <w:ind w:left="634" w:firstLine="359"/>
      </w:pPr>
      <w:r>
        <w:t>Interestingly, the mixture variations showed superior results. Treatment V4 (25% zeolite: 75% limestone) performed best. The pH increased rapidly, reaching 8.02 within 60 minutes, and remained constant at the same value until the end of the observation period at 90 minutes. The high limestone content (75%) provided a large neutralization capacity, while the presence of zeolite (25%) is thought to act as a dispersant. The zeolite particles dispersed among the limestone particles create space and prevent aggregation of the limestone particles, thereby reducing the possibility of armouring massively. Thus, the active surface of the limestone can continue to react with the acid until it reaches a neutral pH.</w:t>
      </w:r>
    </w:p>
    <w:p w14:paraId="3B61BEBE" w14:textId="77777777" w:rsidR="00E43552" w:rsidRDefault="00E43552" w:rsidP="00E43552">
      <w:pPr>
        <w:pStyle w:val="TeksSub-Bab"/>
        <w:ind w:left="634" w:firstLine="359"/>
      </w:pPr>
      <w:r>
        <w:t>Treatment V3 (50:50) also showed good results, with a final pH of 7.26, still below V4 but already showing a pH condition that was trending towards good. Meanwhile, V2 (75:25), which has less limestone content, was only able to achieve a final pH of 5.6, still classified as weakly acidic. This indicates that the amount of limestone remains the dominant factor in determining the total neutralization capacity of the system.</w:t>
      </w:r>
    </w:p>
    <w:p w14:paraId="2FDF59B0" w14:textId="77777777" w:rsidR="00E43552" w:rsidRDefault="00E43552" w:rsidP="00E43552">
      <w:pPr>
        <w:pStyle w:val="TeksSub-Bab"/>
        <w:ind w:left="634" w:firstLine="359"/>
      </w:pPr>
      <w:r>
        <w:lastRenderedPageBreak/>
        <w:t>The effectiveness of this combination is in line with research by Daniela et al., (2025) which found that zeolite and limestone-based composite materials were able to increase the efficiency of cadmium Cd absorption.2+In the synergistic treatment of wastewater. Zeolite not only functions as a metal adsorbent but also as a "framework" that maintains the reactivity of the neutralizing material so that a passive layer does not form (armouring) from metal hydroxide deposits on the surface of limestone particles (Sun et al., 2018).</w:t>
      </w:r>
    </w:p>
    <w:p w14:paraId="6F1F6617" w14:textId="77777777" w:rsidR="00E43552" w:rsidRDefault="00E43552" w:rsidP="00E43552">
      <w:pPr>
        <w:pStyle w:val="TeksSub-Bab"/>
        <w:ind w:left="634" w:firstLine="359"/>
      </w:pPr>
      <w:r>
        <w:t>Based on the test results in this study, it can be seen that adding a mixture of zeolite and lime can increase the pH of acidic water produced from AMD. The most significant pH increase occurred in the first 30 minutes for all variations containing limestone (V2, V3, V4, and V5). From the graph, it can be seen that limestone (CaCO3) plays a role in neutralizing acid mine drainage by increasing the pH of the artificial acid water from pH 2.6 to 8.02 when 10 grams of 25% zeolite: 75% limestone. This increase in pH indicates that lime (CaCO3) functions as a neutralizer for acidic water. Next, we will discuss the neutralization reaction that occurs between sulfuric acid and calcium carbonate.</w:t>
      </w:r>
    </w:p>
    <w:p w14:paraId="5D056DB5" w14:textId="45D35D75" w:rsidR="00E43552" w:rsidRPr="00E43552" w:rsidRDefault="00E43552" w:rsidP="00E43552">
      <w:pPr>
        <w:pStyle w:val="Persamaan"/>
        <w:jc w:val="center"/>
        <w:rPr>
          <w:sz w:val="22"/>
          <w:szCs w:val="20"/>
          <w:vertAlign w:val="subscript"/>
        </w:rPr>
      </w:pPr>
      <w:r w:rsidRPr="00E43552">
        <w:rPr>
          <w:sz w:val="22"/>
          <w:szCs w:val="20"/>
        </w:rPr>
        <w:t>2CaCO</w:t>
      </w:r>
      <w:r w:rsidRPr="00E43552">
        <w:rPr>
          <w:sz w:val="22"/>
          <w:szCs w:val="20"/>
          <w:vertAlign w:val="subscript"/>
        </w:rPr>
        <w:t>3</w:t>
      </w:r>
      <w:r w:rsidRPr="00E43552">
        <w:rPr>
          <w:sz w:val="22"/>
          <w:szCs w:val="20"/>
        </w:rPr>
        <w:t>+ 2H</w:t>
      </w:r>
      <w:r w:rsidRPr="00E43552">
        <w:rPr>
          <w:sz w:val="22"/>
          <w:szCs w:val="20"/>
          <w:vertAlign w:val="subscript"/>
        </w:rPr>
        <w:t>2</w:t>
      </w:r>
      <w:r w:rsidRPr="00E43552">
        <w:rPr>
          <w:sz w:val="22"/>
          <w:szCs w:val="20"/>
        </w:rPr>
        <w:t>SO</w:t>
      </w:r>
      <w:r w:rsidRPr="00E43552">
        <w:rPr>
          <w:sz w:val="22"/>
          <w:szCs w:val="20"/>
          <w:vertAlign w:val="subscript"/>
        </w:rPr>
        <w:t>4</w:t>
      </w:r>
      <w:r w:rsidRPr="00E43552">
        <w:rPr>
          <w:rFonts w:ascii="Cardo" w:eastAsia="Cardo" w:hAnsi="Cardo" w:cs="Cardo"/>
          <w:sz w:val="22"/>
          <w:szCs w:val="20"/>
        </w:rPr>
        <w:t>→ (CaSO</w:t>
      </w:r>
      <w:r w:rsidRPr="00E43552">
        <w:rPr>
          <w:sz w:val="22"/>
          <w:szCs w:val="20"/>
          <w:vertAlign w:val="subscript"/>
        </w:rPr>
        <w:t>4</w:t>
      </w:r>
      <w:r w:rsidRPr="00E43552">
        <w:rPr>
          <w:sz w:val="22"/>
          <w:szCs w:val="20"/>
        </w:rPr>
        <w:t>)</w:t>
      </w:r>
      <w:r w:rsidRPr="00E43552">
        <w:rPr>
          <w:sz w:val="22"/>
          <w:szCs w:val="20"/>
          <w:vertAlign w:val="subscript"/>
        </w:rPr>
        <w:t>2</w:t>
      </w:r>
      <w:r w:rsidRPr="00E43552">
        <w:rPr>
          <w:sz w:val="22"/>
          <w:szCs w:val="20"/>
        </w:rPr>
        <w:t>+ 2H</w:t>
      </w:r>
      <w:r w:rsidRPr="00E43552">
        <w:rPr>
          <w:sz w:val="22"/>
          <w:szCs w:val="20"/>
          <w:vertAlign w:val="subscript"/>
        </w:rPr>
        <w:t>2</w:t>
      </w:r>
      <w:r w:rsidRPr="00E43552">
        <w:rPr>
          <w:sz w:val="22"/>
          <w:szCs w:val="20"/>
        </w:rPr>
        <w:t>O + 2CO</w:t>
      </w:r>
      <w:r w:rsidRPr="00E43552">
        <w:rPr>
          <w:sz w:val="22"/>
          <w:szCs w:val="20"/>
          <w:vertAlign w:val="subscript"/>
        </w:rPr>
        <w:t>2</w:t>
      </w:r>
    </w:p>
    <w:p w14:paraId="5AF3F72C" w14:textId="254BFC6B" w:rsidR="00E43552" w:rsidRDefault="00E43552" w:rsidP="00E43552">
      <w:pPr>
        <w:pStyle w:val="TeksSub-Bab"/>
        <w:ind w:left="634" w:firstLine="359"/>
      </w:pPr>
      <w:r w:rsidRPr="00E43552">
        <w:t>Here, anhydrous calcium sulfate (CaSO4)2is a salt produced from a strong acid, namely sulfuric acid (H</w:t>
      </w:r>
      <w:r w:rsidRPr="00E43552">
        <w:rPr>
          <w:vertAlign w:val="subscript"/>
        </w:rPr>
        <w:t>2</w:t>
      </w:r>
      <w:r w:rsidRPr="00E43552">
        <w:t>SO</w:t>
      </w:r>
      <w:r w:rsidRPr="00E43552">
        <w:rPr>
          <w:vertAlign w:val="subscript"/>
        </w:rPr>
        <w:t>4</w:t>
      </w:r>
      <w:r w:rsidRPr="00E43552">
        <w:t>), and a strong base, namely Calcium hydroxide (Ca(OH)</w:t>
      </w:r>
      <w:r w:rsidRPr="00E43552">
        <w:rPr>
          <w:vertAlign w:val="subscript"/>
        </w:rPr>
        <w:t>2</w:t>
      </w:r>
      <w:r w:rsidRPr="00E43552">
        <w:t>). Calcium hydroxide (Ca(OH)</w:t>
      </w:r>
      <w:r w:rsidRPr="00E43552">
        <w:rPr>
          <w:vertAlign w:val="subscript"/>
        </w:rPr>
        <w:t>2</w:t>
      </w:r>
      <w:r w:rsidRPr="00E43552">
        <w:t>) is formed through the reaction between Calcium Carbonate (CaCO</w:t>
      </w:r>
      <w:r w:rsidRPr="00E43552">
        <w:rPr>
          <w:vertAlign w:val="subscript"/>
        </w:rPr>
        <w:t>3</w:t>
      </w:r>
      <w:r w:rsidRPr="00E43552">
        <w:t>) and Water (H2O), which is often referred to as the hydrolysis reaction of lime (CaCO</w:t>
      </w:r>
      <w:r w:rsidRPr="00E43552">
        <w:rPr>
          <w:vertAlign w:val="subscript"/>
        </w:rPr>
        <w:t>3</w:t>
      </w:r>
      <w:r w:rsidRPr="00E43552">
        <w:t>). The reaction process is:</w:t>
      </w:r>
    </w:p>
    <w:p w14:paraId="3CA941CB" w14:textId="5D56EE41" w:rsidR="00E43552" w:rsidRPr="00E43552" w:rsidRDefault="00E43552" w:rsidP="00E43552">
      <w:pPr>
        <w:pStyle w:val="Persamaan"/>
        <w:jc w:val="center"/>
        <w:rPr>
          <w:sz w:val="22"/>
          <w:szCs w:val="20"/>
          <w:vertAlign w:val="subscript"/>
        </w:rPr>
      </w:pPr>
      <w:r w:rsidRPr="00E43552">
        <w:rPr>
          <w:sz w:val="22"/>
          <w:szCs w:val="20"/>
        </w:rPr>
        <w:t>CaCO</w:t>
      </w:r>
      <w:r w:rsidRPr="00E43552">
        <w:rPr>
          <w:sz w:val="22"/>
          <w:szCs w:val="20"/>
          <w:vertAlign w:val="subscript"/>
        </w:rPr>
        <w:t>3</w:t>
      </w:r>
      <w:r w:rsidRPr="00E43552">
        <w:rPr>
          <w:sz w:val="22"/>
          <w:szCs w:val="20"/>
        </w:rPr>
        <w:t>+ 2H</w:t>
      </w:r>
      <w:r w:rsidRPr="00E43552">
        <w:rPr>
          <w:sz w:val="22"/>
          <w:szCs w:val="20"/>
          <w:vertAlign w:val="subscript"/>
        </w:rPr>
        <w:t>2</w:t>
      </w:r>
      <w:r w:rsidRPr="00E43552">
        <w:rPr>
          <w:rFonts w:eastAsia="Cardo"/>
          <w:sz w:val="22"/>
          <w:szCs w:val="20"/>
        </w:rPr>
        <w:t xml:space="preserve">O → </w:t>
      </w:r>
      <w:proofErr w:type="gramStart"/>
      <w:r w:rsidRPr="00E43552">
        <w:rPr>
          <w:rFonts w:eastAsia="Cardo"/>
          <w:sz w:val="22"/>
          <w:szCs w:val="20"/>
        </w:rPr>
        <w:t>Ca(</w:t>
      </w:r>
      <w:proofErr w:type="gramEnd"/>
      <w:r w:rsidRPr="00E43552">
        <w:rPr>
          <w:rFonts w:eastAsia="Cardo"/>
          <w:sz w:val="22"/>
          <w:szCs w:val="20"/>
        </w:rPr>
        <w:t>OH)</w:t>
      </w:r>
      <w:r w:rsidRPr="00E43552">
        <w:rPr>
          <w:sz w:val="22"/>
          <w:szCs w:val="20"/>
          <w:vertAlign w:val="subscript"/>
        </w:rPr>
        <w:t>2</w:t>
      </w:r>
      <w:r w:rsidRPr="00E43552">
        <w:rPr>
          <w:sz w:val="22"/>
          <w:szCs w:val="20"/>
        </w:rPr>
        <w:t xml:space="preserve"> + H2CO</w:t>
      </w:r>
      <w:r w:rsidRPr="00E43552">
        <w:rPr>
          <w:sz w:val="22"/>
          <w:szCs w:val="20"/>
          <w:vertAlign w:val="subscript"/>
        </w:rPr>
        <w:t>3</w:t>
      </w:r>
    </w:p>
    <w:p w14:paraId="30AFC42D" w14:textId="12D7DD4B" w:rsidR="00E43552" w:rsidRDefault="00E43552" w:rsidP="00E43552">
      <w:pPr>
        <w:pStyle w:val="TeksSub-Bab"/>
        <w:ind w:left="634" w:firstLine="359"/>
      </w:pPr>
      <w:r>
        <w:t>From this reaction, it can be seen that CO32-from lime (CaCO3) when reacting with H+in acidic solution will produce H</w:t>
      </w:r>
      <w:r w:rsidRPr="00E43552">
        <w:rPr>
          <w:vertAlign w:val="subscript"/>
        </w:rPr>
        <w:t>2</w:t>
      </w:r>
      <w:r>
        <w:t>CO</w:t>
      </w:r>
      <w:r w:rsidRPr="00E43552">
        <w:rPr>
          <w:vertAlign w:val="subscript"/>
        </w:rPr>
        <w:t>3</w:t>
      </w:r>
      <w:r>
        <w:t xml:space="preserve"> </w:t>
      </w:r>
      <w:r>
        <w:t>and OH</w:t>
      </w:r>
      <w:r w:rsidRPr="00E43552">
        <w:rPr>
          <w:vertAlign w:val="superscript"/>
        </w:rPr>
        <w:t>-</w:t>
      </w:r>
      <w:r>
        <w:t>. The longer the CO</w:t>
      </w:r>
      <w:r w:rsidRPr="00E43552">
        <w:rPr>
          <w:vertAlign w:val="subscript"/>
        </w:rPr>
        <w:t>3</w:t>
      </w:r>
      <w:r w:rsidRPr="00E43552">
        <w:rPr>
          <w:vertAlign w:val="superscript"/>
        </w:rPr>
        <w:t>2-</w:t>
      </w:r>
      <w:r>
        <w:t xml:space="preserve"> </w:t>
      </w:r>
      <w:r>
        <w:t>from lime (CaCO</w:t>
      </w:r>
      <w:r w:rsidRPr="00E43552">
        <w:rPr>
          <w:vertAlign w:val="subscript"/>
        </w:rPr>
        <w:t>3</w:t>
      </w:r>
      <w:r>
        <w:t>) in contact with H</w:t>
      </w:r>
      <w:r w:rsidRPr="00E43552">
        <w:rPr>
          <w:vertAlign w:val="superscript"/>
        </w:rPr>
        <w:t>+</w:t>
      </w:r>
      <w:r>
        <w:rPr>
          <w:vertAlign w:val="superscript"/>
        </w:rPr>
        <w:t xml:space="preserve"> </w:t>
      </w:r>
      <w:r>
        <w:t>in acidic solution, the number of H</w:t>
      </w:r>
      <w:r w:rsidRPr="00E43552">
        <w:rPr>
          <w:vertAlign w:val="superscript"/>
        </w:rPr>
        <w:t>+</w:t>
      </w:r>
      <w:r>
        <w:t xml:space="preserve"> ions</w:t>
      </w:r>
      <w:r>
        <w:t xml:space="preserve"> </w:t>
      </w:r>
      <w:r>
        <w:t>in the solution will decrease, so that the pH of the water becomes higher (acidity decreases) (Metboki, et al., 2018). When lime interacts with acidic water, a hydrolysis reaction occurs, breaking down calcium carbonate into calcium ions (Ca</w:t>
      </w:r>
      <w:r w:rsidRPr="00E43552">
        <w:rPr>
          <w:vertAlign w:val="superscript"/>
        </w:rPr>
        <w:t>2+</w:t>
      </w:r>
      <w:r>
        <w:t>) and hydroxide ions (OH</w:t>
      </w:r>
      <w:r w:rsidRPr="00E43552">
        <w:rPr>
          <w:vertAlign w:val="superscript"/>
        </w:rPr>
        <w:t>-</w:t>
      </w:r>
      <w:r>
        <w:t>). In this process, hydroxide ions (OH</w:t>
      </w:r>
      <w:r w:rsidRPr="00E43552">
        <w:rPr>
          <w:vertAlign w:val="superscript"/>
        </w:rPr>
        <w:t>-</w:t>
      </w:r>
      <w:r>
        <w:t>) formed from the hydrolysis of lime increases the OH content-in solution, which further increases the pH of the solution. Furthermore, calcium ions (Ca</w:t>
      </w:r>
      <w:r w:rsidRPr="00E43552">
        <w:rPr>
          <w:vertAlign w:val="superscript"/>
        </w:rPr>
        <w:t>2+</w:t>
      </w:r>
      <w:r>
        <w:t>) produced from calcium carbonate interacting with sulfate ions (SO</w:t>
      </w:r>
      <w:r w:rsidRPr="00E43552">
        <w:rPr>
          <w:vertAlign w:val="subscript"/>
        </w:rPr>
        <w:t>4</w:t>
      </w:r>
      <w:r w:rsidRPr="00E43552">
        <w:rPr>
          <w:vertAlign w:val="superscript"/>
        </w:rPr>
        <w:t>2-</w:t>
      </w:r>
      <w:r>
        <w:t>) which comes from sulfuric acid, then forms calcium sulfate salt which is insoluble in water. (Kusdarini, et al, 2024).</w:t>
      </w:r>
    </w:p>
    <w:p w14:paraId="19D845CC" w14:textId="6205C31E" w:rsidR="00E43552" w:rsidRDefault="00E43552" w:rsidP="00E43552">
      <w:pPr>
        <w:pStyle w:val="TeksSub-Bab"/>
        <w:ind w:left="634" w:firstLine="359"/>
      </w:pPr>
      <w:r>
        <w:t>This study is in accordance with previous research conducted by Sari, et al., (2020) found that the use of lime with a dose of 0.2 g/L can increase the change in the initial pH value from 3.43 to 7.11 (Sari et al. 2020). Furthermore, research conducted by Ignasius Nartoris can be found that the use of lime of 0.2 g/L can increase the change in pH value from 3.25 to 6.25 (Nortoris, et al., 2020). In this study, it was found that the use of lime with a dose of 0.2 g/L can increase the pH value change from 3.31 to 7.01. This value has met the requirements of quality standards, where the pH value of wastewater from good mining activities according to SNI 6989.11:2019 is 6 - 9.</w:t>
      </w:r>
    </w:p>
    <w:p w14:paraId="6138CBEC" w14:textId="77777777" w:rsidR="00E43552" w:rsidRDefault="00E43552" w:rsidP="00E43552">
      <w:pPr>
        <w:pStyle w:val="TeksSub-Bab"/>
        <w:ind w:left="634" w:firstLine="359"/>
      </w:pPr>
    </w:p>
    <w:p w14:paraId="41D810E7" w14:textId="77777777" w:rsidR="00E43552" w:rsidRPr="001D4F37" w:rsidRDefault="00E43552" w:rsidP="008B50FC">
      <w:pPr>
        <w:pStyle w:val="BodyText"/>
        <w:ind w:left="0" w:firstLine="0"/>
      </w:pPr>
    </w:p>
    <w:p w14:paraId="70D033C0" w14:textId="5BB70949" w:rsidR="00B50122" w:rsidRPr="00D01E64" w:rsidRDefault="00E43552" w:rsidP="00B50122">
      <w:pPr>
        <w:pStyle w:val="Heading1"/>
      </w:pPr>
      <w:r w:rsidRPr="00E43552">
        <w:t>Conclusion</w:t>
      </w:r>
    </w:p>
    <w:p w14:paraId="192AEB08" w14:textId="51D4467B" w:rsidR="00E43552" w:rsidRPr="00E43552" w:rsidRDefault="00E43552" w:rsidP="00E43552">
      <w:pPr>
        <w:pStyle w:val="BodyText"/>
        <w:rPr>
          <w:lang w:val="id-ID"/>
        </w:rPr>
      </w:pPr>
      <w:r w:rsidRPr="00E43552">
        <w:rPr>
          <w:lang w:val="id-ID"/>
        </w:rPr>
        <w:t>Conclusion Based on the results of the research that has been conducted, several conclusions can be drawn as follows:</w:t>
      </w:r>
    </w:p>
    <w:p w14:paraId="514DA3CA" w14:textId="2A916F8D" w:rsidR="00E43552" w:rsidRDefault="00E43552" w:rsidP="00E43552">
      <w:pPr>
        <w:pStyle w:val="BodyText"/>
        <w:numPr>
          <w:ilvl w:val="0"/>
          <w:numId w:val="17"/>
        </w:numPr>
        <w:rPr>
          <w:lang w:val="id-ID"/>
        </w:rPr>
      </w:pPr>
      <w:r w:rsidRPr="00E43552">
        <w:rPr>
          <w:lang w:val="id-ID"/>
        </w:rPr>
        <w:t>The combination of zeolite and limestone has proven effective in increasing the pH of Acid Mine Drainage (AMD) from PT. XYZ from an initial value of 2.6 to meet environmental quality standards.</w:t>
      </w:r>
    </w:p>
    <w:p w14:paraId="70FE1009" w14:textId="77777777" w:rsidR="00E43552" w:rsidRDefault="00E43552" w:rsidP="00E43552">
      <w:pPr>
        <w:pStyle w:val="BodyText"/>
        <w:numPr>
          <w:ilvl w:val="0"/>
          <w:numId w:val="17"/>
        </w:numPr>
        <w:rPr>
          <w:lang w:val="id-ID"/>
        </w:rPr>
      </w:pPr>
      <w:r w:rsidRPr="00E43552">
        <w:rPr>
          <w:lang w:val="id-ID"/>
        </w:rPr>
        <w:t>The mass ratio between zeolite and limestone significantly affects the rate and extent of pH increase.</w:t>
      </w:r>
    </w:p>
    <w:p w14:paraId="7FEAA87D" w14:textId="77777777" w:rsidR="00E43552" w:rsidRDefault="00E43552" w:rsidP="00E43552">
      <w:pPr>
        <w:pStyle w:val="BodyText"/>
        <w:numPr>
          <w:ilvl w:val="0"/>
          <w:numId w:val="17"/>
        </w:numPr>
        <w:rPr>
          <w:lang w:val="id-ID"/>
        </w:rPr>
      </w:pPr>
      <w:r w:rsidRPr="00E43552">
        <w:rPr>
          <w:lang w:val="id-ID"/>
        </w:rPr>
        <w:t>The mass ratio of 25% zeolite and 75% limestone (V4) is the most optimal composition in this study, which is able to increase the pH to 8.32 in 60 minutes to 8.5 in 90 minutes.</w:t>
      </w:r>
    </w:p>
    <w:p w14:paraId="0B1F7923" w14:textId="02D9FDCF" w:rsidR="00E43552" w:rsidRPr="00E43552" w:rsidRDefault="00E43552" w:rsidP="00E43552">
      <w:pPr>
        <w:pStyle w:val="BodyText"/>
        <w:numPr>
          <w:ilvl w:val="0"/>
          <w:numId w:val="17"/>
        </w:numPr>
        <w:rPr>
          <w:lang w:val="id-ID"/>
        </w:rPr>
      </w:pPr>
      <w:r w:rsidRPr="00E43552">
        <w:rPr>
          <w:lang w:val="id-ID"/>
        </w:rPr>
        <w:t>The presence of zeolite in the mixture is strongly suspected of playing a role in minimizing the effects armouring on limestone particles, thereby increasing the efficiency of the overall neutralization process.</w:t>
      </w:r>
    </w:p>
    <w:p w14:paraId="5176DB80" w14:textId="77777777" w:rsidR="00E43552" w:rsidRPr="00E43552" w:rsidRDefault="00E43552" w:rsidP="00E43552">
      <w:pPr>
        <w:pStyle w:val="BodyText"/>
        <w:rPr>
          <w:lang w:val="id-ID"/>
        </w:rPr>
      </w:pPr>
    </w:p>
    <w:p w14:paraId="57CFA8A5" w14:textId="77777777" w:rsidR="00E43552" w:rsidRPr="00E43552" w:rsidRDefault="00E43552" w:rsidP="00E43552">
      <w:pPr>
        <w:pStyle w:val="BodyText"/>
        <w:rPr>
          <w:lang w:val="id-ID"/>
        </w:rPr>
      </w:pPr>
      <w:r w:rsidRPr="00E43552">
        <w:rPr>
          <w:lang w:val="id-ID"/>
        </w:rPr>
        <w:t>For further development, it is recommended to conduct pilot scale research and analyze the efficiency of reducing dissolved heavy metal levels using instrumentation tools.</w:t>
      </w:r>
    </w:p>
    <w:p w14:paraId="7E2912F2" w14:textId="5485B867" w:rsidR="00B50122" w:rsidRPr="00D01E64" w:rsidRDefault="00B50122" w:rsidP="00E43552">
      <w:pPr>
        <w:pStyle w:val="BodyText"/>
        <w:rPr>
          <w:lang w:val="id-ID"/>
        </w:rPr>
      </w:pPr>
    </w:p>
    <w:p w14:paraId="08C8C308" w14:textId="6FCB0CCD" w:rsidR="00B50122" w:rsidRPr="00674B1E" w:rsidRDefault="00E43552" w:rsidP="00B50122">
      <w:pPr>
        <w:pStyle w:val="Heading1"/>
      </w:pPr>
      <w:r w:rsidRPr="00E43552">
        <w:lastRenderedPageBreak/>
        <w:t>Acknowledgements:</w:t>
      </w:r>
    </w:p>
    <w:p w14:paraId="428DE830" w14:textId="6E842EE3" w:rsidR="00B50122" w:rsidRPr="00B50122" w:rsidRDefault="00E43552" w:rsidP="0056554A">
      <w:pPr>
        <w:tabs>
          <w:tab w:val="left" w:pos="288"/>
        </w:tabs>
        <w:ind w:left="274" w:right="222" w:firstLine="403"/>
        <w:jc w:val="both"/>
      </w:pPr>
      <w:r w:rsidRPr="00E43552">
        <w:rPr>
          <w:sz w:val="22"/>
          <w:szCs w:val="22"/>
        </w:rPr>
        <w:t>We would like to express our gratitude to all those who assisted in the implementation of this research, especially to the Head of the Chemistry Laboratory of the Bontang Industrial Technology College for providing laboratory facilities for this research, and to the administrators of the Chemical Process Engineering Journal for their assistance in publishing this journal.</w:t>
      </w:r>
    </w:p>
    <w:p w14:paraId="4E0EDAE6" w14:textId="77777777" w:rsidR="00DA48EF" w:rsidRPr="00DA48EF" w:rsidRDefault="00DA48EF" w:rsidP="00B50122">
      <w:pPr>
        <w:tabs>
          <w:tab w:val="left" w:pos="288"/>
        </w:tabs>
        <w:jc w:val="both"/>
        <w:rPr>
          <w:color w:val="000000"/>
          <w:spacing w:val="-1"/>
          <w:sz w:val="22"/>
          <w:szCs w:val="22"/>
          <w:shd w:val="clear" w:color="auto" w:fill="FFFFFF"/>
          <w:lang w:val="id-ID" w:eastAsia="id-ID"/>
        </w:rPr>
      </w:pPr>
    </w:p>
    <w:p w14:paraId="5432AF89" w14:textId="254EC9DB" w:rsidR="00B431C5" w:rsidRPr="00B431C5" w:rsidRDefault="00E43552" w:rsidP="00B431C5">
      <w:pPr>
        <w:keepNext/>
        <w:keepLines/>
        <w:numPr>
          <w:ilvl w:val="0"/>
          <w:numId w:val="2"/>
        </w:numPr>
        <w:tabs>
          <w:tab w:val="left" w:pos="216"/>
        </w:tabs>
        <w:spacing w:after="120"/>
        <w:jc w:val="left"/>
        <w:outlineLvl w:val="0"/>
        <w:rPr>
          <w:rFonts w:eastAsia="MS Mincho"/>
          <w:b/>
          <w:noProof/>
          <w:sz w:val="24"/>
          <w:szCs w:val="24"/>
          <w:lang w:val="id-ID"/>
        </w:rPr>
      </w:pPr>
      <w:r w:rsidRPr="00E43552">
        <w:rPr>
          <w:rFonts w:eastAsia="MS Mincho"/>
          <w:b/>
          <w:noProof/>
          <w:sz w:val="24"/>
          <w:szCs w:val="24"/>
          <w:lang w:val="id-ID"/>
        </w:rPr>
        <w:t>Bibliography</w:t>
      </w:r>
    </w:p>
    <w:p w14:paraId="5FEE80D4" w14:textId="77777777" w:rsidR="0002333E" w:rsidRDefault="0002333E" w:rsidP="0002333E">
      <w:pPr>
        <w:tabs>
          <w:tab w:val="left" w:pos="7470"/>
        </w:tabs>
        <w:ind w:left="567" w:hanging="567"/>
        <w:jc w:val="left"/>
        <w:rPr>
          <w:sz w:val="22"/>
          <w:szCs w:val="22"/>
        </w:rPr>
      </w:pPr>
      <w:r w:rsidRPr="0002333E">
        <w:rPr>
          <w:sz w:val="22"/>
          <w:szCs w:val="22"/>
        </w:rPr>
        <w:t>Ananda, R., HAR, R., &amp; Prabowo, H. (2024). Neutralization of acid mine drainage pH using the Passive Open Lime Channel method with the addition of fly ash, zeolite, and silica sand in laboratory-scale testing. Journal of Geoscience and Technology, 7 (April), 75–82.</w:t>
      </w:r>
    </w:p>
    <w:p w14:paraId="3C999FB3" w14:textId="77777777" w:rsidR="0002333E" w:rsidRDefault="0002333E" w:rsidP="0002333E">
      <w:pPr>
        <w:tabs>
          <w:tab w:val="left" w:pos="7470"/>
        </w:tabs>
        <w:ind w:left="567" w:hanging="567"/>
        <w:jc w:val="left"/>
        <w:rPr>
          <w:sz w:val="22"/>
          <w:szCs w:val="22"/>
        </w:rPr>
      </w:pPr>
      <w:r w:rsidRPr="0002333E">
        <w:rPr>
          <w:sz w:val="22"/>
          <w:szCs w:val="22"/>
        </w:rPr>
        <w:t xml:space="preserve">Daniela O. Profeta, Marcella A. da Silva, </w:t>
      </w:r>
      <w:proofErr w:type="spellStart"/>
      <w:r w:rsidRPr="0002333E">
        <w:rPr>
          <w:sz w:val="22"/>
          <w:szCs w:val="22"/>
        </w:rPr>
        <w:t>Diêgo</w:t>
      </w:r>
      <w:proofErr w:type="spellEnd"/>
      <w:r w:rsidRPr="0002333E">
        <w:rPr>
          <w:sz w:val="22"/>
          <w:szCs w:val="22"/>
        </w:rPr>
        <w:t xml:space="preserve"> N. Faria, Daniel F. Cipriano, Jair C.C. Freitas, Fabiana Soares dos Santos, Thiago M. Lima, Sancler C. Vasconcelos, </w:t>
      </w:r>
      <w:proofErr w:type="spellStart"/>
      <w:r w:rsidRPr="0002333E">
        <w:rPr>
          <w:sz w:val="22"/>
          <w:szCs w:val="22"/>
        </w:rPr>
        <w:t>Mendelssolm</w:t>
      </w:r>
      <w:proofErr w:type="spellEnd"/>
      <w:r w:rsidRPr="0002333E">
        <w:rPr>
          <w:sz w:val="22"/>
          <w:szCs w:val="22"/>
        </w:rPr>
        <w:t xml:space="preserve"> K. </w:t>
      </w:r>
      <w:proofErr w:type="spellStart"/>
      <w:r w:rsidRPr="0002333E">
        <w:rPr>
          <w:sz w:val="22"/>
          <w:szCs w:val="22"/>
        </w:rPr>
        <w:t>Pietre</w:t>
      </w:r>
      <w:proofErr w:type="spellEnd"/>
      <w:r w:rsidRPr="0002333E">
        <w:rPr>
          <w:sz w:val="22"/>
          <w:szCs w:val="22"/>
        </w:rPr>
        <w:t xml:space="preserve">. (2025). Zeolite/calcium carbonate composite for a synergistic adsorption of cadmium in aqueous </w:t>
      </w:r>
      <w:proofErr w:type="spellStart"/>
      <w:proofErr w:type="gramStart"/>
      <w:r w:rsidRPr="0002333E">
        <w:rPr>
          <w:sz w:val="22"/>
          <w:szCs w:val="22"/>
        </w:rPr>
        <w:t>solution.Next</w:t>
      </w:r>
      <w:proofErr w:type="spellEnd"/>
      <w:proofErr w:type="gramEnd"/>
      <w:r w:rsidRPr="0002333E">
        <w:rPr>
          <w:sz w:val="22"/>
          <w:szCs w:val="22"/>
        </w:rPr>
        <w:t xml:space="preserve"> Materials, 6 (100493).</w:t>
      </w:r>
    </w:p>
    <w:p w14:paraId="5C8EC8B9" w14:textId="77777777" w:rsidR="0002333E" w:rsidRDefault="0002333E" w:rsidP="0002333E">
      <w:pPr>
        <w:tabs>
          <w:tab w:val="left" w:pos="7470"/>
        </w:tabs>
        <w:ind w:left="567" w:hanging="567"/>
        <w:jc w:val="left"/>
        <w:rPr>
          <w:sz w:val="22"/>
          <w:szCs w:val="22"/>
        </w:rPr>
      </w:pPr>
      <w:r w:rsidRPr="0002333E">
        <w:rPr>
          <w:sz w:val="22"/>
          <w:szCs w:val="22"/>
        </w:rPr>
        <w:t>Decree of the Minister of State for the Environment. 2003. Decree of the Minister of State for the Environment Number 113 of 2003 concerning Wastewater Quality Standards for Coal Mining Businesses and/or Activities. Vol. 53.</w:t>
      </w:r>
    </w:p>
    <w:p w14:paraId="16745A55" w14:textId="77777777" w:rsidR="0002333E" w:rsidRDefault="0002333E" w:rsidP="0002333E">
      <w:pPr>
        <w:tabs>
          <w:tab w:val="left" w:pos="7470"/>
        </w:tabs>
        <w:ind w:left="567" w:hanging="567"/>
        <w:jc w:val="left"/>
        <w:rPr>
          <w:sz w:val="22"/>
          <w:szCs w:val="22"/>
        </w:rPr>
      </w:pPr>
      <w:r w:rsidRPr="0002333E">
        <w:rPr>
          <w:sz w:val="22"/>
          <w:szCs w:val="22"/>
        </w:rPr>
        <w:t>Francesco G. O</w:t>
      </w:r>
      <w:proofErr w:type="spellStart"/>
      <w:r w:rsidRPr="0002333E">
        <w:rPr>
          <w:sz w:val="22"/>
          <w:szCs w:val="22"/>
        </w:rPr>
        <w:t>ffeddu</w:t>
      </w:r>
      <w:proofErr w:type="spellEnd"/>
      <w:r w:rsidRPr="0002333E">
        <w:rPr>
          <w:sz w:val="22"/>
          <w:szCs w:val="22"/>
        </w:rPr>
        <w:t xml:space="preserve">, Jordi Cama, Josep M. Soler, Gabriela Dávila, Alastair McDowell, Teddy Craciunescu, Ion Tiseanu. (2015). Processes affecting the efficiency of limestone in passive treatments for AMD: Column </w:t>
      </w:r>
      <w:proofErr w:type="spellStart"/>
      <w:proofErr w:type="gramStart"/>
      <w:r w:rsidRPr="0002333E">
        <w:rPr>
          <w:sz w:val="22"/>
          <w:szCs w:val="22"/>
        </w:rPr>
        <w:t>experiments.Journal</w:t>
      </w:r>
      <w:proofErr w:type="spellEnd"/>
      <w:proofErr w:type="gramEnd"/>
      <w:r w:rsidRPr="0002333E">
        <w:rPr>
          <w:sz w:val="22"/>
          <w:szCs w:val="22"/>
        </w:rPr>
        <w:t xml:space="preserve"> of Environmental Chemical Engineering, 3(1).</w:t>
      </w:r>
    </w:p>
    <w:p w14:paraId="6A2BE051" w14:textId="30986365" w:rsidR="0002333E" w:rsidRDefault="0002333E" w:rsidP="0002333E">
      <w:pPr>
        <w:tabs>
          <w:tab w:val="left" w:pos="7470"/>
        </w:tabs>
        <w:ind w:left="567" w:hanging="567"/>
        <w:jc w:val="left"/>
        <w:rPr>
          <w:sz w:val="22"/>
          <w:szCs w:val="22"/>
        </w:rPr>
      </w:pPr>
      <w:r w:rsidRPr="0002333E">
        <w:rPr>
          <w:sz w:val="22"/>
          <w:szCs w:val="22"/>
        </w:rPr>
        <w:t xml:space="preserve">Johnson, D. B., &amp; Hallberg, K. B. (2005). Acid mine drainage remediation </w:t>
      </w:r>
      <w:proofErr w:type="gramStart"/>
      <w:r w:rsidRPr="0002333E">
        <w:rPr>
          <w:sz w:val="22"/>
          <w:szCs w:val="22"/>
        </w:rPr>
        <w:t>options :</w:t>
      </w:r>
      <w:proofErr w:type="gramEnd"/>
      <w:r w:rsidRPr="0002333E">
        <w:rPr>
          <w:sz w:val="22"/>
          <w:szCs w:val="22"/>
        </w:rPr>
        <w:t xml:space="preserve"> a review. Elsevier, 338, 3–14. </w:t>
      </w:r>
      <w:hyperlink r:id="rId14" w:history="1">
        <w:r w:rsidRPr="00726B91">
          <w:rPr>
            <w:rStyle w:val="Hyperlink"/>
            <w:sz w:val="22"/>
            <w:szCs w:val="22"/>
          </w:rPr>
          <w:t>https://doi.org/10.1016/j.scitotenv.2004.09.002</w:t>
        </w:r>
      </w:hyperlink>
    </w:p>
    <w:p w14:paraId="3FB37219" w14:textId="77777777" w:rsidR="0002333E" w:rsidRDefault="0002333E" w:rsidP="0002333E">
      <w:pPr>
        <w:tabs>
          <w:tab w:val="left" w:pos="7470"/>
        </w:tabs>
        <w:ind w:left="567" w:hanging="567"/>
        <w:jc w:val="left"/>
        <w:rPr>
          <w:sz w:val="22"/>
          <w:szCs w:val="22"/>
        </w:rPr>
      </w:pPr>
      <w:r w:rsidRPr="0002333E">
        <w:rPr>
          <w:sz w:val="22"/>
          <w:szCs w:val="22"/>
        </w:rPr>
        <w:t xml:space="preserve">Kusdarini, </w:t>
      </w:r>
      <w:proofErr w:type="spellStart"/>
      <w:r w:rsidRPr="0002333E">
        <w:rPr>
          <w:sz w:val="22"/>
          <w:szCs w:val="22"/>
        </w:rPr>
        <w:t>Esthi</w:t>
      </w:r>
      <w:proofErr w:type="spellEnd"/>
      <w:r w:rsidRPr="0002333E">
        <w:rPr>
          <w:sz w:val="22"/>
          <w:szCs w:val="22"/>
        </w:rPr>
        <w:t xml:space="preserve">, Putri </w:t>
      </w:r>
      <w:proofErr w:type="spellStart"/>
      <w:r w:rsidRPr="0002333E">
        <w:rPr>
          <w:sz w:val="22"/>
          <w:szCs w:val="22"/>
        </w:rPr>
        <w:t>Rizka</w:t>
      </w:r>
      <w:proofErr w:type="spellEnd"/>
      <w:r w:rsidRPr="0002333E">
        <w:rPr>
          <w:sz w:val="22"/>
          <w:szCs w:val="22"/>
        </w:rPr>
        <w:t xml:space="preserve"> Sania, and Agus </w:t>
      </w:r>
      <w:proofErr w:type="spellStart"/>
      <w:r w:rsidRPr="0002333E">
        <w:rPr>
          <w:sz w:val="22"/>
          <w:szCs w:val="22"/>
        </w:rPr>
        <w:t>Budianto</w:t>
      </w:r>
      <w:proofErr w:type="spellEnd"/>
      <w:r w:rsidRPr="0002333E">
        <w:rPr>
          <w:sz w:val="22"/>
          <w:szCs w:val="22"/>
        </w:rPr>
        <w:t xml:space="preserve">. 2024. "Neutralization of Acid Mine Drainage Using Active and Passive Treatment." Journal of Environmental Science 22(3):808–15. </w:t>
      </w:r>
      <w:proofErr w:type="spellStart"/>
      <w:r w:rsidRPr="0002333E">
        <w:rPr>
          <w:sz w:val="22"/>
          <w:szCs w:val="22"/>
        </w:rPr>
        <w:t>doi</w:t>
      </w:r>
      <w:proofErr w:type="spellEnd"/>
      <w:r w:rsidRPr="0002333E">
        <w:rPr>
          <w:sz w:val="22"/>
          <w:szCs w:val="22"/>
        </w:rPr>
        <w:t>: 10.14710/jil.22.3.808-815.</w:t>
      </w:r>
    </w:p>
    <w:p w14:paraId="2169B70D" w14:textId="77777777" w:rsidR="0002333E" w:rsidRDefault="0002333E" w:rsidP="0002333E">
      <w:pPr>
        <w:tabs>
          <w:tab w:val="left" w:pos="7470"/>
        </w:tabs>
        <w:ind w:left="567" w:hanging="567"/>
        <w:jc w:val="left"/>
        <w:rPr>
          <w:sz w:val="22"/>
          <w:szCs w:val="22"/>
        </w:rPr>
      </w:pPr>
      <w:proofErr w:type="spellStart"/>
      <w:r w:rsidRPr="0002333E">
        <w:rPr>
          <w:sz w:val="22"/>
          <w:szCs w:val="22"/>
        </w:rPr>
        <w:t>Mapukata</w:t>
      </w:r>
      <w:proofErr w:type="spellEnd"/>
      <w:r w:rsidRPr="0002333E">
        <w:rPr>
          <w:sz w:val="22"/>
          <w:szCs w:val="22"/>
        </w:rPr>
        <w:t xml:space="preserve">, S., </w:t>
      </w:r>
      <w:proofErr w:type="spellStart"/>
      <w:r w:rsidRPr="0002333E">
        <w:rPr>
          <w:sz w:val="22"/>
          <w:szCs w:val="22"/>
        </w:rPr>
        <w:t>Mudzanani</w:t>
      </w:r>
      <w:proofErr w:type="spellEnd"/>
      <w:r w:rsidRPr="0002333E">
        <w:rPr>
          <w:sz w:val="22"/>
          <w:szCs w:val="22"/>
        </w:rPr>
        <w:t xml:space="preserve">, K., Maurice Chauke, N., Maiga, D., Phadi, T., &amp; </w:t>
      </w:r>
      <w:proofErr w:type="spellStart"/>
      <w:r w:rsidRPr="0002333E">
        <w:rPr>
          <w:sz w:val="22"/>
          <w:szCs w:val="22"/>
        </w:rPr>
        <w:t>Raphulu</w:t>
      </w:r>
      <w:proofErr w:type="spellEnd"/>
      <w:r w:rsidRPr="0002333E">
        <w:rPr>
          <w:sz w:val="22"/>
          <w:szCs w:val="22"/>
        </w:rPr>
        <w:t xml:space="preserve">, M. (2024). Acid Mine Drainage Treatment and Control: Remediation Methodologies, Mineral Beneficiation and Water Reclamation Strategies. Hydrology - Current Research and Future Directions. </w:t>
      </w:r>
    </w:p>
    <w:p w14:paraId="15CAC028" w14:textId="77777777" w:rsidR="0002333E" w:rsidRDefault="0002333E" w:rsidP="0002333E">
      <w:pPr>
        <w:tabs>
          <w:tab w:val="left" w:pos="7470"/>
        </w:tabs>
        <w:ind w:left="567" w:hanging="567"/>
        <w:jc w:val="left"/>
        <w:rPr>
          <w:sz w:val="22"/>
          <w:szCs w:val="22"/>
        </w:rPr>
      </w:pPr>
      <w:proofErr w:type="spellStart"/>
      <w:r w:rsidRPr="0002333E">
        <w:rPr>
          <w:sz w:val="22"/>
          <w:szCs w:val="22"/>
        </w:rPr>
        <w:t>Metboki</w:t>
      </w:r>
      <w:proofErr w:type="spellEnd"/>
      <w:r w:rsidRPr="0002333E">
        <w:rPr>
          <w:sz w:val="22"/>
          <w:szCs w:val="22"/>
        </w:rPr>
        <w:t xml:space="preserve">, Matilda, and Yohana Lake. 2018. "Analysis of Cretaceous Age (CaCO3) and Natural Zeolite as Acidic Water Neutralizers and Fe Metal Content Absorbers in Sedimentation Ponds of PT. SAG KSO PT. Semen </w:t>
      </w:r>
      <w:proofErr w:type="spellStart"/>
      <w:r w:rsidRPr="0002333E">
        <w:rPr>
          <w:sz w:val="22"/>
          <w:szCs w:val="22"/>
        </w:rPr>
        <w:t>Kupang</w:t>
      </w:r>
      <w:proofErr w:type="spellEnd"/>
      <w:r w:rsidRPr="0002333E">
        <w:rPr>
          <w:sz w:val="22"/>
          <w:szCs w:val="22"/>
        </w:rPr>
        <w:t>." 2018(November):5–6.</w:t>
      </w:r>
    </w:p>
    <w:p w14:paraId="61151F62" w14:textId="77777777" w:rsidR="0002333E" w:rsidRDefault="0002333E" w:rsidP="0002333E">
      <w:pPr>
        <w:tabs>
          <w:tab w:val="left" w:pos="7470"/>
        </w:tabs>
        <w:ind w:left="567" w:hanging="567"/>
        <w:jc w:val="left"/>
        <w:rPr>
          <w:sz w:val="22"/>
          <w:szCs w:val="22"/>
        </w:rPr>
      </w:pPr>
      <w:proofErr w:type="spellStart"/>
      <w:r w:rsidRPr="0002333E">
        <w:rPr>
          <w:sz w:val="22"/>
          <w:szCs w:val="22"/>
        </w:rPr>
        <w:t>Nurfatimah</w:t>
      </w:r>
      <w:proofErr w:type="spellEnd"/>
      <w:r w:rsidRPr="0002333E">
        <w:rPr>
          <w:sz w:val="22"/>
          <w:szCs w:val="22"/>
        </w:rPr>
        <w:t xml:space="preserve">, N. (2023). Potential Environmental Pollution Due to Mining Activities in the Industrial Area of </w:t>
      </w:r>
      <w:proofErr w:type="spellStart"/>
      <w:r w:rsidRPr="0002333E">
        <w:rPr>
          <w:sz w:val="22"/>
          <w:szCs w:val="22"/>
        </w:rPr>
        <w:t>Bantaeng</w:t>
      </w:r>
      <w:proofErr w:type="spellEnd"/>
      <w:r w:rsidRPr="0002333E">
        <w:rPr>
          <w:sz w:val="22"/>
          <w:szCs w:val="22"/>
        </w:rPr>
        <w:t xml:space="preserve"> Regency. Plano Madani: Journal of Regional and Urban Planning, 12(1), 58–64.</w:t>
      </w:r>
    </w:p>
    <w:p w14:paraId="2FBC4A3D" w14:textId="77777777" w:rsidR="0002333E" w:rsidRDefault="0002333E" w:rsidP="0002333E">
      <w:pPr>
        <w:tabs>
          <w:tab w:val="left" w:pos="7470"/>
        </w:tabs>
        <w:ind w:left="567" w:hanging="567"/>
        <w:jc w:val="left"/>
        <w:rPr>
          <w:sz w:val="22"/>
          <w:szCs w:val="22"/>
        </w:rPr>
      </w:pPr>
      <w:proofErr w:type="spellStart"/>
      <w:r w:rsidRPr="0002333E">
        <w:rPr>
          <w:sz w:val="22"/>
          <w:szCs w:val="22"/>
        </w:rPr>
        <w:t>Nortoris</w:t>
      </w:r>
      <w:proofErr w:type="spellEnd"/>
      <w:r w:rsidRPr="0002333E">
        <w:rPr>
          <w:sz w:val="22"/>
          <w:szCs w:val="22"/>
        </w:rPr>
        <w:t xml:space="preserve">, Ignasius, A. A. Adnyano, and </w:t>
      </w:r>
      <w:proofErr w:type="spellStart"/>
      <w:r w:rsidRPr="0002333E">
        <w:rPr>
          <w:sz w:val="22"/>
          <w:szCs w:val="22"/>
        </w:rPr>
        <w:t>Erry</w:t>
      </w:r>
      <w:proofErr w:type="spellEnd"/>
      <w:r w:rsidRPr="0002333E">
        <w:rPr>
          <w:sz w:val="22"/>
          <w:szCs w:val="22"/>
        </w:rPr>
        <w:t xml:space="preserve"> </w:t>
      </w:r>
      <w:proofErr w:type="spellStart"/>
      <w:r w:rsidRPr="0002333E">
        <w:rPr>
          <w:sz w:val="22"/>
          <w:szCs w:val="22"/>
        </w:rPr>
        <w:t>Sumarjono</w:t>
      </w:r>
      <w:proofErr w:type="spellEnd"/>
      <w:r w:rsidRPr="0002333E">
        <w:rPr>
          <w:sz w:val="22"/>
          <w:szCs w:val="22"/>
        </w:rPr>
        <w:t>. 2020. "Technical Study on the Prevention and Handling of Mine Acid Water." Mining Insight 01(02):203–10.</w:t>
      </w:r>
    </w:p>
    <w:p w14:paraId="7890B058" w14:textId="77777777" w:rsidR="0002333E" w:rsidRDefault="0002333E" w:rsidP="0002333E">
      <w:pPr>
        <w:tabs>
          <w:tab w:val="left" w:pos="7470"/>
        </w:tabs>
        <w:ind w:left="567" w:hanging="567"/>
        <w:jc w:val="left"/>
        <w:rPr>
          <w:sz w:val="22"/>
          <w:szCs w:val="22"/>
        </w:rPr>
      </w:pPr>
      <w:proofErr w:type="spellStart"/>
      <w:r w:rsidRPr="0002333E">
        <w:rPr>
          <w:sz w:val="22"/>
          <w:szCs w:val="22"/>
        </w:rPr>
        <w:t>Qinwen</w:t>
      </w:r>
      <w:proofErr w:type="spellEnd"/>
      <w:r w:rsidRPr="0002333E">
        <w:rPr>
          <w:sz w:val="22"/>
          <w:szCs w:val="22"/>
        </w:rPr>
        <w:t xml:space="preserve"> Zheng, Yi Zhou, Xin Liu, Meng Liu, </w:t>
      </w:r>
      <w:proofErr w:type="spellStart"/>
      <w:r w:rsidRPr="0002333E">
        <w:rPr>
          <w:sz w:val="22"/>
          <w:szCs w:val="22"/>
        </w:rPr>
        <w:t>Libing</w:t>
      </w:r>
      <w:proofErr w:type="spellEnd"/>
      <w:r w:rsidRPr="0002333E">
        <w:rPr>
          <w:sz w:val="22"/>
          <w:szCs w:val="22"/>
        </w:rPr>
        <w:t xml:space="preserve"> Liao, </w:t>
      </w:r>
      <w:proofErr w:type="spellStart"/>
      <w:r w:rsidRPr="0002333E">
        <w:rPr>
          <w:sz w:val="22"/>
          <w:szCs w:val="22"/>
        </w:rPr>
        <w:t>Guocheng</w:t>
      </w:r>
      <w:proofErr w:type="spellEnd"/>
      <w:r w:rsidRPr="0002333E">
        <w:rPr>
          <w:sz w:val="22"/>
          <w:szCs w:val="22"/>
        </w:rPr>
        <w:t xml:space="preserve"> Lv. (2024). Environmental hazards and comprehensive utilization of solid waste coal gangue. Progress in Natural Science: Materials International, 34 (2), 223-239.</w:t>
      </w:r>
    </w:p>
    <w:p w14:paraId="61F17772" w14:textId="77777777" w:rsidR="0002333E" w:rsidRDefault="0002333E" w:rsidP="0002333E">
      <w:pPr>
        <w:tabs>
          <w:tab w:val="left" w:pos="7470"/>
        </w:tabs>
        <w:ind w:left="567" w:hanging="567"/>
        <w:jc w:val="left"/>
        <w:rPr>
          <w:sz w:val="22"/>
          <w:szCs w:val="22"/>
        </w:rPr>
      </w:pPr>
      <w:r w:rsidRPr="0002333E">
        <w:rPr>
          <w:sz w:val="22"/>
          <w:szCs w:val="22"/>
        </w:rPr>
        <w:t xml:space="preserve">Sari, Ester Indah, E. P. S. B. Taman Tono, and </w:t>
      </w:r>
      <w:proofErr w:type="spellStart"/>
      <w:r w:rsidRPr="0002333E">
        <w:rPr>
          <w:sz w:val="22"/>
          <w:szCs w:val="22"/>
        </w:rPr>
        <w:t>Guskarnali</w:t>
      </w:r>
      <w:proofErr w:type="spellEnd"/>
      <w:r w:rsidRPr="0002333E">
        <w:rPr>
          <w:sz w:val="22"/>
          <w:szCs w:val="22"/>
        </w:rPr>
        <w:t xml:space="preserve">. 2020. "Study of the Use of Quicklime in the Mine Acid Water Neutral Process at Pit 3 West Banko Mine IUP PT Bukit Asam </w:t>
      </w:r>
      <w:proofErr w:type="spellStart"/>
      <w:r w:rsidRPr="0002333E">
        <w:rPr>
          <w:sz w:val="22"/>
          <w:szCs w:val="22"/>
        </w:rPr>
        <w:t>Tbk</w:t>
      </w:r>
      <w:proofErr w:type="spellEnd"/>
      <w:r w:rsidRPr="0002333E">
        <w:rPr>
          <w:sz w:val="22"/>
          <w:szCs w:val="22"/>
        </w:rPr>
        <w:t xml:space="preserve"> Tanjung </w:t>
      </w:r>
      <w:proofErr w:type="spellStart"/>
      <w:r w:rsidRPr="0002333E">
        <w:rPr>
          <w:sz w:val="22"/>
          <w:szCs w:val="22"/>
        </w:rPr>
        <w:t>Enim</w:t>
      </w:r>
      <w:proofErr w:type="spellEnd"/>
      <w:r w:rsidRPr="0002333E">
        <w:rPr>
          <w:sz w:val="22"/>
          <w:szCs w:val="22"/>
        </w:rPr>
        <w:t>, South Sumatra (Study of the Use of Quicklime in the Mine Acid Water Neutral Process at Pit KPL 3 West Banko." Minerals 3(2):1–6.</w:t>
      </w:r>
    </w:p>
    <w:p w14:paraId="159F5765" w14:textId="77777777" w:rsidR="0002333E" w:rsidRDefault="0002333E" w:rsidP="0002333E">
      <w:pPr>
        <w:tabs>
          <w:tab w:val="left" w:pos="7470"/>
        </w:tabs>
        <w:ind w:left="567" w:hanging="567"/>
        <w:jc w:val="left"/>
        <w:rPr>
          <w:sz w:val="22"/>
          <w:szCs w:val="22"/>
        </w:rPr>
      </w:pPr>
      <w:r w:rsidRPr="0002333E">
        <w:rPr>
          <w:sz w:val="22"/>
          <w:szCs w:val="22"/>
        </w:rPr>
        <w:t>Sun, Q., M</w:t>
      </w:r>
      <w:proofErr w:type="spellStart"/>
      <w:r w:rsidRPr="0002333E">
        <w:rPr>
          <w:sz w:val="22"/>
          <w:szCs w:val="22"/>
        </w:rPr>
        <w:t>cdonald</w:t>
      </w:r>
      <w:proofErr w:type="spellEnd"/>
      <w:r w:rsidRPr="0002333E">
        <w:rPr>
          <w:sz w:val="22"/>
          <w:szCs w:val="22"/>
        </w:rPr>
        <w:t>, L. M., &amp; Skousen, J. G. (2018). Effects of Armoring on Limestone Neutralization of AMD. Virginia Tech, 3(1).</w:t>
      </w:r>
    </w:p>
    <w:p w14:paraId="3634D3F2" w14:textId="77777777" w:rsidR="0002333E" w:rsidRDefault="0002333E" w:rsidP="0002333E">
      <w:pPr>
        <w:tabs>
          <w:tab w:val="left" w:pos="7470"/>
        </w:tabs>
        <w:ind w:left="567" w:hanging="567"/>
        <w:jc w:val="left"/>
        <w:rPr>
          <w:sz w:val="22"/>
          <w:szCs w:val="22"/>
        </w:rPr>
      </w:pPr>
      <w:proofErr w:type="spellStart"/>
      <w:r w:rsidRPr="0002333E">
        <w:rPr>
          <w:sz w:val="22"/>
          <w:szCs w:val="22"/>
        </w:rPr>
        <w:t>Tanri</w:t>
      </w:r>
      <w:proofErr w:type="spellEnd"/>
      <w:r w:rsidRPr="0002333E">
        <w:rPr>
          <w:sz w:val="22"/>
          <w:szCs w:val="22"/>
        </w:rPr>
        <w:t xml:space="preserve">, V. C., Alexander, B., Welington, G., Aurelia Lie, I., Siddhi Fonso, T., &amp; </w:t>
      </w:r>
      <w:proofErr w:type="spellStart"/>
      <w:r w:rsidRPr="0002333E">
        <w:rPr>
          <w:sz w:val="22"/>
          <w:szCs w:val="22"/>
        </w:rPr>
        <w:t>Irayasa</w:t>
      </w:r>
      <w:proofErr w:type="spellEnd"/>
      <w:r w:rsidRPr="0002333E">
        <w:rPr>
          <w:sz w:val="22"/>
          <w:szCs w:val="22"/>
        </w:rPr>
        <w:t xml:space="preserve">, K. (2024). Analysis of Heavy Metal Content of Mercury (Hg) and Lead (Pb) in Shellfish in the Nickel Factory Area, </w:t>
      </w:r>
      <w:proofErr w:type="spellStart"/>
      <w:r w:rsidRPr="0002333E">
        <w:rPr>
          <w:sz w:val="22"/>
          <w:szCs w:val="22"/>
        </w:rPr>
        <w:t>Pajukukang</w:t>
      </w:r>
      <w:proofErr w:type="spellEnd"/>
      <w:r w:rsidRPr="0002333E">
        <w:rPr>
          <w:sz w:val="22"/>
          <w:szCs w:val="22"/>
        </w:rPr>
        <w:t xml:space="preserve"> District, </w:t>
      </w:r>
      <w:proofErr w:type="spellStart"/>
      <w:r w:rsidRPr="0002333E">
        <w:rPr>
          <w:sz w:val="22"/>
          <w:szCs w:val="22"/>
        </w:rPr>
        <w:t>Bantaeng</w:t>
      </w:r>
      <w:proofErr w:type="spellEnd"/>
      <w:r w:rsidRPr="0002333E">
        <w:rPr>
          <w:sz w:val="22"/>
          <w:szCs w:val="22"/>
        </w:rPr>
        <w:t xml:space="preserve"> Regency. Proceedings of the 63rd UNM National Seminar 2024, 120–125. </w:t>
      </w:r>
    </w:p>
    <w:p w14:paraId="395272D7" w14:textId="77777777" w:rsidR="0002333E" w:rsidRDefault="0002333E" w:rsidP="0002333E">
      <w:pPr>
        <w:tabs>
          <w:tab w:val="left" w:pos="7470"/>
        </w:tabs>
        <w:ind w:left="567" w:hanging="567"/>
        <w:jc w:val="left"/>
        <w:rPr>
          <w:sz w:val="22"/>
          <w:szCs w:val="22"/>
        </w:rPr>
      </w:pPr>
      <w:proofErr w:type="spellStart"/>
      <w:r w:rsidRPr="0002333E">
        <w:rPr>
          <w:sz w:val="22"/>
          <w:szCs w:val="22"/>
        </w:rPr>
        <w:t>Thisani</w:t>
      </w:r>
      <w:proofErr w:type="spellEnd"/>
      <w:r w:rsidRPr="0002333E">
        <w:rPr>
          <w:sz w:val="22"/>
          <w:szCs w:val="22"/>
        </w:rPr>
        <w:t>, S. K., Kallon, D. V. Von, &amp; Byrne, P. (2021). Review of Remediation Solutions for Acid Mine Drainage Using the Modified Hill Framework. MDPI Sustainability, 13(8118).</w:t>
      </w:r>
    </w:p>
    <w:p w14:paraId="3D299E05" w14:textId="77777777" w:rsidR="0002333E" w:rsidRDefault="0002333E" w:rsidP="0002333E">
      <w:pPr>
        <w:tabs>
          <w:tab w:val="left" w:pos="7470"/>
        </w:tabs>
        <w:ind w:left="567" w:hanging="567"/>
        <w:jc w:val="left"/>
        <w:rPr>
          <w:sz w:val="22"/>
          <w:szCs w:val="22"/>
        </w:rPr>
      </w:pPr>
      <w:proofErr w:type="spellStart"/>
      <w:r w:rsidRPr="0002333E">
        <w:rPr>
          <w:sz w:val="22"/>
          <w:szCs w:val="22"/>
        </w:rPr>
        <w:t>Widyaningrum</w:t>
      </w:r>
      <w:proofErr w:type="spellEnd"/>
      <w:r w:rsidRPr="0002333E">
        <w:rPr>
          <w:sz w:val="22"/>
          <w:szCs w:val="22"/>
        </w:rPr>
        <w:t xml:space="preserve">, Sri &amp; Sarto, Sarto &amp; </w:t>
      </w:r>
      <w:proofErr w:type="spellStart"/>
      <w:r w:rsidRPr="0002333E">
        <w:rPr>
          <w:sz w:val="22"/>
          <w:szCs w:val="22"/>
        </w:rPr>
        <w:t>Prasetya</w:t>
      </w:r>
      <w:proofErr w:type="spellEnd"/>
      <w:r w:rsidRPr="0002333E">
        <w:rPr>
          <w:sz w:val="22"/>
          <w:szCs w:val="22"/>
        </w:rPr>
        <w:t>, Agus. (2022). Removal of Iron and Manganese in Acid Mine Drainage Using Natural Zeolite. Key Engineering Materials. 920. 81-87. 10.4028/p-0c392g.</w:t>
      </w:r>
    </w:p>
    <w:p w14:paraId="479371C0" w14:textId="17BCB2F2" w:rsidR="001C1C3C" w:rsidRPr="0002333E" w:rsidRDefault="0002333E" w:rsidP="0002333E">
      <w:pPr>
        <w:tabs>
          <w:tab w:val="left" w:pos="7470"/>
        </w:tabs>
        <w:ind w:left="567" w:hanging="567"/>
        <w:jc w:val="left"/>
        <w:rPr>
          <w:sz w:val="22"/>
          <w:szCs w:val="22"/>
        </w:rPr>
      </w:pPr>
      <w:r w:rsidRPr="0002333E">
        <w:rPr>
          <w:sz w:val="22"/>
          <w:szCs w:val="22"/>
        </w:rPr>
        <w:t xml:space="preserve">Zipper, C., Skousen, J., &amp; </w:t>
      </w:r>
      <w:proofErr w:type="spellStart"/>
      <w:r w:rsidRPr="0002333E">
        <w:rPr>
          <w:sz w:val="22"/>
          <w:szCs w:val="22"/>
        </w:rPr>
        <w:t>Jage</w:t>
      </w:r>
      <w:proofErr w:type="spellEnd"/>
      <w:r w:rsidRPr="0002333E">
        <w:rPr>
          <w:sz w:val="22"/>
          <w:szCs w:val="22"/>
        </w:rPr>
        <w:t>, C. (2018). Passive Treatment of Acid-Mine Drainage. Virginia Tech, 133.</w:t>
      </w:r>
      <w:r w:rsidR="001C1C3C">
        <w:rPr>
          <w:lang w:eastAsia="id-ID"/>
        </w:rPr>
        <w:tab/>
      </w:r>
    </w:p>
    <w:sectPr w:rsidR="001C1C3C" w:rsidRPr="0002333E" w:rsidSect="00CF51B9">
      <w:headerReference w:type="even" r:id="rId15"/>
      <w:headerReference w:type="default" r:id="rId16"/>
      <w:footerReference w:type="even" r:id="rId17"/>
      <w:footerReference w:type="default" r:id="rId18"/>
      <w:headerReference w:type="first" r:id="rId19"/>
      <w:footerReference w:type="first" r:id="rId20"/>
      <w:type w:val="continuous"/>
      <w:pgSz w:w="11909" w:h="16834" w:code="9"/>
      <w:pgMar w:top="1080" w:right="1019" w:bottom="1134" w:left="1170"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21853" w14:textId="77777777" w:rsidR="00AD49CC" w:rsidRDefault="00AD49CC" w:rsidP="00731701">
      <w:r>
        <w:separator/>
      </w:r>
    </w:p>
  </w:endnote>
  <w:endnote w:type="continuationSeparator" w:id="0">
    <w:p w14:paraId="0B22653B" w14:textId="77777777" w:rsidR="00AD49CC" w:rsidRDefault="00AD49CC" w:rsidP="0073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rdo">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FA75" w14:textId="77777777" w:rsidR="00437AC7" w:rsidRDefault="00437AC7" w:rsidP="00CD6BE3">
    <w:pPr>
      <w:pStyle w:val="Footer"/>
      <w:jc w:val="both"/>
    </w:pPr>
  </w:p>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CD6BE3" w:rsidRPr="00A56965" w14:paraId="7E688963" w14:textId="77777777" w:rsidTr="00DB0BDF">
      <w:trPr>
        <w:trHeight w:val="267"/>
      </w:trPr>
      <w:tc>
        <w:tcPr>
          <w:tcW w:w="9243" w:type="dxa"/>
          <w:shd w:val="clear" w:color="auto" w:fill="FFFFFF"/>
          <w:hideMark/>
        </w:tcPr>
        <w:p w14:paraId="7FC3322B" w14:textId="77777777" w:rsidR="00437AC7" w:rsidRPr="00A56965" w:rsidRDefault="00000000" w:rsidP="00CD6BE3">
          <w:pPr>
            <w:pStyle w:val="NoSpacing"/>
            <w:rPr>
              <w:rFonts w:ascii="Times New Roman" w:hAnsi="Times New Roman"/>
              <w:sz w:val="20"/>
              <w:szCs w:val="20"/>
              <w:lang w:val="id-ID"/>
            </w:rPr>
          </w:pPr>
          <w:r w:rsidRPr="00A56965">
            <w:rPr>
              <w:rFonts w:ascii="Times New Roman" w:hAnsi="Times New Roman"/>
              <w:sz w:val="20"/>
              <w:szCs w:val="20"/>
              <w:lang w:val="id-ID"/>
            </w:rPr>
            <w:t xml:space="preserve">*) </w:t>
          </w:r>
          <w:r w:rsidRPr="00A56965">
            <w:rPr>
              <w:rFonts w:ascii="Times New Roman" w:hAnsi="Times New Roman"/>
              <w:sz w:val="20"/>
              <w:szCs w:val="20"/>
              <w:lang w:val="id-ID"/>
            </w:rPr>
            <w:t>Correspondenting Author</w:t>
          </w:r>
        </w:p>
      </w:tc>
    </w:tr>
    <w:tr w:rsidR="00CD6BE3" w:rsidRPr="00A56965" w14:paraId="1DD2569B" w14:textId="77777777" w:rsidTr="00DB0BDF">
      <w:trPr>
        <w:trHeight w:val="267"/>
      </w:trPr>
      <w:tc>
        <w:tcPr>
          <w:tcW w:w="9243" w:type="dxa"/>
          <w:shd w:val="clear" w:color="auto" w:fill="FFFFFF"/>
        </w:tcPr>
        <w:p w14:paraId="0B6B9F38" w14:textId="77777777" w:rsidR="00437AC7" w:rsidRPr="00A56965" w:rsidRDefault="00000000" w:rsidP="00CD6BE3">
          <w:pPr>
            <w:pStyle w:val="Footer"/>
            <w:jc w:val="both"/>
            <w:rPr>
              <w:i/>
              <w:iCs/>
              <w:lang w:val="id-ID"/>
            </w:rPr>
          </w:pPr>
          <w:r w:rsidRPr="00A56965">
            <w:rPr>
              <w:lang w:val="id-ID"/>
            </w:rPr>
            <w:t>2022 PETISI : Pengabdian Kepada Masyarakat Bidang Teknologi Informasi dan Sistem Informasi</w:t>
          </w:r>
          <w:r w:rsidRPr="00A56965">
            <w:rPr>
              <w:i/>
              <w:iCs/>
              <w:lang w:val="id-ID"/>
            </w:rPr>
            <w:t xml:space="preserve"> </w:t>
          </w:r>
        </w:p>
        <w:p w14:paraId="3AC7CB63" w14:textId="77777777" w:rsidR="00437AC7" w:rsidRPr="00A56965" w:rsidRDefault="00000000" w:rsidP="00CD6BE3">
          <w:pPr>
            <w:pStyle w:val="Footer"/>
            <w:jc w:val="both"/>
            <w:rPr>
              <w:lang w:val="id-ID"/>
            </w:rPr>
          </w:pPr>
          <w:r w:rsidRPr="00A56965">
            <w:rPr>
              <w:lang w:val="id-ID"/>
            </w:rPr>
            <w:t>with CC BY NC SA license.</w:t>
          </w:r>
        </w:p>
      </w:tc>
    </w:tr>
  </w:tbl>
  <w:p w14:paraId="29513048" w14:textId="77777777" w:rsidR="00437AC7" w:rsidRDefault="00437AC7" w:rsidP="00CD6BE3">
    <w:pPr>
      <w:pStyle w:val="Footer"/>
      <w:jc w:val="both"/>
    </w:pPr>
  </w:p>
  <w:p w14:paraId="39B7B73C" w14:textId="77777777" w:rsidR="005F1FA8" w:rsidRDefault="005F1F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2893860"/>
      <w:docPartObj>
        <w:docPartGallery w:val="Page Numbers (Bottom of Page)"/>
        <w:docPartUnique/>
      </w:docPartObj>
    </w:sdtPr>
    <w:sdtContent>
      <w:p w14:paraId="5AC3F96E" w14:textId="0961496F" w:rsidR="00CF51B9" w:rsidRDefault="00CF51B9" w:rsidP="002501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26681A2B" w14:textId="77777777" w:rsidTr="00DB0BDF">
      <w:trPr>
        <w:trHeight w:val="267"/>
      </w:trPr>
      <w:tc>
        <w:tcPr>
          <w:tcW w:w="9243" w:type="dxa"/>
          <w:shd w:val="clear" w:color="auto" w:fill="FFFFFF"/>
        </w:tcPr>
        <w:p w14:paraId="6231AA88" w14:textId="77777777" w:rsidR="00437AC7" w:rsidRPr="00980B82" w:rsidRDefault="00000000" w:rsidP="00CF51B9">
          <w:pPr>
            <w:pStyle w:val="Footer"/>
            <w:ind w:right="360"/>
            <w:jc w:val="left"/>
          </w:pPr>
          <w:r w:rsidRPr="00980B82">
            <w:rPr>
              <w:b/>
              <w:bCs/>
            </w:rPr>
            <w:t>TRANSFORM</w:t>
          </w:r>
          <w:r>
            <w:t xml:space="preserve"> (</w:t>
          </w:r>
          <w:r w:rsidRPr="00A21C54">
            <w:rPr>
              <w:rFonts w:ascii="Bookman Old Style" w:hAnsi="Bookman Old Style" w:cs="Tahoma"/>
              <w:sz w:val="18"/>
              <w:lang w:val="id-ID"/>
            </w:rPr>
            <w:t>e-ISSN xxxx-xxxx</w:t>
          </w:r>
          <w:r>
            <w:rPr>
              <w:rFonts w:ascii="Bookman Old Style" w:hAnsi="Bookman Old Style" w:cs="Tahoma"/>
              <w:sz w:val="18"/>
            </w:rPr>
            <w:t>)</w:t>
          </w:r>
        </w:p>
      </w:tc>
    </w:tr>
  </w:tbl>
  <w:p w14:paraId="02C0B9A5" w14:textId="77777777" w:rsidR="00437AC7" w:rsidRPr="00E13074" w:rsidRDefault="00437AC7" w:rsidP="00DB0BDF">
    <w:pPr>
      <w:pStyle w:val="Footer"/>
      <w:jc w:val="both"/>
    </w:pPr>
  </w:p>
  <w:p w14:paraId="76A746E3" w14:textId="77777777" w:rsidR="005F1FA8" w:rsidRDefault="005F1F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7B9C" w14:textId="77777777" w:rsidR="002C66F9" w:rsidRDefault="002C66F9" w:rsidP="00CF51B9">
    <w:pPr>
      <w:ind w:right="360"/>
    </w:pPr>
  </w:p>
  <w:sdt>
    <w:sdtPr>
      <w:rPr>
        <w:rStyle w:val="PageNumber"/>
      </w:rPr>
      <w:id w:val="-318039432"/>
      <w:docPartObj>
        <w:docPartGallery w:val="Page Numbers (Bottom of Page)"/>
        <w:docPartUnique/>
      </w:docPartObj>
    </w:sdtPr>
    <w:sdtContent>
      <w:p w14:paraId="164E7688" w14:textId="77777777" w:rsidR="00CF51B9" w:rsidRDefault="00CF51B9" w:rsidP="00CF51B9">
        <w:pPr>
          <w:pStyle w:val="Footer"/>
          <w:framePr w:wrap="none" w:vAnchor="text" w:hAnchor="page" w:x="10631" w:y="9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tbl>
    <w:tblPr>
      <w:tblW w:w="9806" w:type="dxa"/>
      <w:tblInd w:w="-176" w:type="dxa"/>
      <w:tblBorders>
        <w:top w:val="single" w:sz="4" w:space="0" w:color="auto"/>
      </w:tblBorders>
      <w:tblLayout w:type="fixed"/>
      <w:tblLook w:val="04A0" w:firstRow="1" w:lastRow="0" w:firstColumn="1" w:lastColumn="0" w:noHBand="0" w:noVBand="1"/>
    </w:tblPr>
    <w:tblGrid>
      <w:gridCol w:w="9806"/>
    </w:tblGrid>
    <w:tr w:rsidR="009E371E" w:rsidRPr="002C66F9" w14:paraId="00033B92" w14:textId="77777777" w:rsidTr="002C66F9">
      <w:trPr>
        <w:trHeight w:val="267"/>
      </w:trPr>
      <w:tc>
        <w:tcPr>
          <w:tcW w:w="9806" w:type="dxa"/>
          <w:shd w:val="clear" w:color="auto" w:fill="FFFFFF"/>
        </w:tcPr>
        <w:p w14:paraId="7C0C5419" w14:textId="57CA1FD9" w:rsidR="00437AC7" w:rsidRPr="00B50122" w:rsidRDefault="00B50122" w:rsidP="00DB0BDF">
          <w:pPr>
            <w:pStyle w:val="NoSpacing"/>
            <w:rPr>
              <w:rFonts w:ascii="Helvetica" w:hAnsi="Helvetica"/>
              <w:sz w:val="20"/>
              <w:szCs w:val="20"/>
            </w:rPr>
          </w:pPr>
          <w:r>
            <w:rPr>
              <w:rFonts w:ascii="Helvetica" w:hAnsi="Helvetica"/>
              <w:b/>
              <w:bCs/>
              <w:sz w:val="20"/>
              <w:szCs w:val="20"/>
            </w:rPr>
            <w:t>SEMNASRETRO</w:t>
          </w:r>
          <w:r w:rsidR="002C66F9">
            <w:rPr>
              <w:rFonts w:ascii="Helvetica" w:hAnsi="Helvetica"/>
              <w:sz w:val="20"/>
              <w:szCs w:val="20"/>
            </w:rPr>
            <w:t xml:space="preserve">, Vol. </w:t>
          </w:r>
          <w:r w:rsidR="00DA48EF">
            <w:rPr>
              <w:rFonts w:ascii="Helvetica" w:hAnsi="Helvetica"/>
              <w:sz w:val="20"/>
              <w:szCs w:val="20"/>
            </w:rPr>
            <w:t>X</w:t>
          </w:r>
          <w:r w:rsidR="002C66F9">
            <w:rPr>
              <w:rFonts w:ascii="Helvetica" w:hAnsi="Helvetica"/>
              <w:sz w:val="20"/>
              <w:szCs w:val="20"/>
            </w:rPr>
            <w:t xml:space="preserve">, No. </w:t>
          </w:r>
          <w:r w:rsidR="00DA48EF">
            <w:rPr>
              <w:rFonts w:ascii="Helvetica" w:hAnsi="Helvetica"/>
              <w:sz w:val="20"/>
              <w:szCs w:val="20"/>
            </w:rPr>
            <w:t>X</w:t>
          </w:r>
          <w:r w:rsidR="002C66F9">
            <w:rPr>
              <w:rFonts w:ascii="Helvetica" w:hAnsi="Helvetica"/>
              <w:sz w:val="20"/>
              <w:szCs w:val="20"/>
            </w:rPr>
            <w:t xml:space="preserve">, </w:t>
          </w:r>
          <w:r w:rsidR="00DA48EF">
            <w:rPr>
              <w:rFonts w:ascii="Helvetica" w:hAnsi="Helvetica"/>
              <w:sz w:val="20"/>
              <w:szCs w:val="20"/>
            </w:rPr>
            <w:t>XX</w:t>
          </w:r>
          <w:r w:rsidR="002C66F9">
            <w:rPr>
              <w:rFonts w:ascii="Helvetica" w:hAnsi="Helvetica"/>
              <w:sz w:val="20"/>
              <w:szCs w:val="20"/>
            </w:rPr>
            <w:t>-</w:t>
          </w:r>
          <w:r w:rsidR="00DA48EF">
            <w:rPr>
              <w:rFonts w:ascii="Helvetica" w:hAnsi="Helvetica"/>
              <w:sz w:val="20"/>
              <w:szCs w:val="20"/>
            </w:rPr>
            <w:t>XX</w:t>
          </w:r>
        </w:p>
      </w:tc>
    </w:tr>
  </w:tbl>
  <w:p w14:paraId="17110684" w14:textId="77777777" w:rsidR="00437AC7" w:rsidRPr="002C66F9" w:rsidRDefault="00437AC7" w:rsidP="00DB0BDF">
    <w:pPr>
      <w:pStyle w:val="Footer"/>
      <w:rPr>
        <w:rFonts w:ascii="Helvetica" w:hAnsi="Helvetica"/>
      </w:rPr>
    </w:pPr>
  </w:p>
  <w:p w14:paraId="6255E420" w14:textId="77777777" w:rsidR="005F1FA8" w:rsidRDefault="005F1FA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55C102C" w14:textId="77777777" w:rsidTr="00DB0BDF">
      <w:trPr>
        <w:trHeight w:val="267"/>
      </w:trPr>
      <w:tc>
        <w:tcPr>
          <w:tcW w:w="9243" w:type="dxa"/>
          <w:shd w:val="clear" w:color="auto" w:fill="FFFFFF"/>
          <w:hideMark/>
        </w:tcPr>
        <w:p w14:paraId="2F98009B" w14:textId="77777777" w:rsidR="00437AC7" w:rsidRPr="00E13074" w:rsidRDefault="00000000"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67C68094" w14:textId="77777777" w:rsidTr="00DB0BDF">
      <w:trPr>
        <w:trHeight w:val="267"/>
      </w:trPr>
      <w:tc>
        <w:tcPr>
          <w:tcW w:w="9243" w:type="dxa"/>
          <w:shd w:val="clear" w:color="auto" w:fill="FFFFFF"/>
        </w:tcPr>
        <w:p w14:paraId="67E56E54" w14:textId="77777777" w:rsidR="00437AC7" w:rsidRPr="00E13074" w:rsidRDefault="00437AC7" w:rsidP="00DB0BDF">
          <w:pPr>
            <w:pStyle w:val="NoSpacing"/>
            <w:rPr>
              <w:rFonts w:ascii="Times New Roman" w:hAnsi="Times New Roman"/>
              <w:sz w:val="20"/>
              <w:szCs w:val="20"/>
              <w:lang w:val="id-ID"/>
            </w:rPr>
          </w:pPr>
          <w:hyperlink r:id="rId1" w:history="1">
            <w:r w:rsidRPr="00E13074">
              <w:rPr>
                <w:rStyle w:val="Hyperlink"/>
                <w:rFonts w:ascii="Times New Roman" w:hAnsi="Times New Roman"/>
                <w:sz w:val="20"/>
                <w:szCs w:val="20"/>
              </w:rPr>
              <w:t>https://doi.org/(editor)</w:t>
            </w:r>
          </w:hyperlink>
          <w:r w:rsidRPr="00E13074">
            <w:rPr>
              <w:rFonts w:ascii="Times New Roman" w:hAnsi="Times New Roman"/>
              <w:sz w:val="20"/>
              <w:szCs w:val="20"/>
            </w:rPr>
            <w:t xml:space="preserve"> </w:t>
          </w:r>
        </w:p>
      </w:tc>
    </w:tr>
    <w:tr w:rsidR="009E371E" w:rsidRPr="00E13074" w14:paraId="3355DF0E" w14:textId="77777777" w:rsidTr="00DB0BDF">
      <w:trPr>
        <w:trHeight w:val="267"/>
      </w:trPr>
      <w:tc>
        <w:tcPr>
          <w:tcW w:w="9243" w:type="dxa"/>
          <w:shd w:val="clear" w:color="auto" w:fill="FFFFFF"/>
        </w:tcPr>
        <w:p w14:paraId="453F9577" w14:textId="77777777" w:rsidR="00437AC7" w:rsidRPr="00E13074" w:rsidRDefault="00000000" w:rsidP="00DB0BDF">
          <w:pPr>
            <w:pStyle w:val="Footer"/>
            <w:jc w:val="both"/>
          </w:pPr>
          <w:r w:rsidRPr="00E13074">
            <w:t>202</w:t>
          </w:r>
          <w:r>
            <w:t>2</w:t>
          </w:r>
          <w:r w:rsidRPr="00E13074">
            <w:t xml:space="preserve"> </w:t>
          </w:r>
          <w:proofErr w:type="gramStart"/>
          <w:r w:rsidRPr="00E13074">
            <w:t>ATASI :</w:t>
          </w:r>
          <w:proofErr w:type="gramEnd"/>
          <w:r w:rsidRPr="00E13074">
            <w:t xml:space="preserve"> </w:t>
          </w:r>
          <w:proofErr w:type="spellStart"/>
          <w:r w:rsidRPr="00495DE6">
            <w:rPr>
              <w:iCs/>
            </w:rPr>
            <w:t>Adopsi</w:t>
          </w:r>
          <w:proofErr w:type="spellEnd"/>
          <w:r w:rsidRPr="00495DE6">
            <w:rPr>
              <w:iCs/>
            </w:rPr>
            <w:t xml:space="preserve"> Teknologi dan </w:t>
          </w:r>
          <w:proofErr w:type="spellStart"/>
          <w:r w:rsidRPr="00495DE6">
            <w:rPr>
              <w:iCs/>
            </w:rPr>
            <w:t>Sistem</w:t>
          </w:r>
          <w:proofErr w:type="spellEnd"/>
          <w:r w:rsidRPr="00495DE6">
            <w:rPr>
              <w:iCs/>
            </w:rPr>
            <w:t xml:space="preserve"> </w:t>
          </w:r>
          <w:proofErr w:type="spellStart"/>
          <w:r w:rsidRPr="00495DE6">
            <w:rPr>
              <w:iCs/>
            </w:rPr>
            <w:t>Informasi</w:t>
          </w:r>
          <w:proofErr w:type="spellEnd"/>
          <w:r>
            <w:rPr>
              <w:i/>
              <w:iCs/>
            </w:rPr>
            <w:t xml:space="preserve"> </w:t>
          </w:r>
          <w:r w:rsidRPr="00E13074">
            <w:t>with CC BY NC SA license.</w:t>
          </w:r>
        </w:p>
      </w:tc>
    </w:tr>
  </w:tbl>
  <w:p w14:paraId="005AFA5A" w14:textId="77777777" w:rsidR="00437AC7" w:rsidRPr="009E25E4" w:rsidRDefault="00437AC7" w:rsidP="00DB0BDF">
    <w:pPr>
      <w:pStyle w:val="Footer"/>
      <w:jc w:val="both"/>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3720F" w14:textId="77777777" w:rsidR="00AD49CC" w:rsidRDefault="00AD49CC" w:rsidP="00731701">
      <w:r>
        <w:separator/>
      </w:r>
    </w:p>
  </w:footnote>
  <w:footnote w:type="continuationSeparator" w:id="0">
    <w:p w14:paraId="3ACE033C" w14:textId="77777777" w:rsidR="00AD49CC" w:rsidRDefault="00AD49CC" w:rsidP="0073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54" w:type="dxa"/>
      <w:tblLayout w:type="fixed"/>
      <w:tblLook w:val="0000" w:firstRow="0" w:lastRow="0" w:firstColumn="0" w:lastColumn="0" w:noHBand="0" w:noVBand="0"/>
    </w:tblPr>
    <w:tblGrid>
      <w:gridCol w:w="2802"/>
      <w:gridCol w:w="2126"/>
      <w:gridCol w:w="3686"/>
      <w:gridCol w:w="540"/>
    </w:tblGrid>
    <w:tr w:rsidR="00812813" w:rsidRPr="008A0AA1" w14:paraId="1EACCFC1" w14:textId="77777777" w:rsidTr="00DB0BDF">
      <w:trPr>
        <w:trHeight w:val="267"/>
      </w:trPr>
      <w:tc>
        <w:tcPr>
          <w:tcW w:w="8614" w:type="dxa"/>
          <w:gridSpan w:val="3"/>
          <w:shd w:val="clear" w:color="auto" w:fill="FFFFFF"/>
        </w:tcPr>
        <w:p w14:paraId="0A2AB721" w14:textId="77777777" w:rsidR="00437AC7" w:rsidRPr="008A0AA1" w:rsidRDefault="00000000" w:rsidP="00812813">
          <w:pPr>
            <w:pStyle w:val="NoSpacing"/>
            <w:rPr>
              <w:rFonts w:ascii="Tahoma" w:hAnsi="Tahoma" w:cs="Tahoma"/>
              <w:sz w:val="20"/>
              <w:lang w:val="id-ID"/>
            </w:rPr>
          </w:pPr>
          <w:proofErr w:type="gramStart"/>
          <w:r>
            <w:rPr>
              <w:rFonts w:ascii="Tahoma" w:hAnsi="Tahoma" w:cs="Tahoma"/>
              <w:sz w:val="20"/>
            </w:rPr>
            <w:t xml:space="preserve">PETISI </w:t>
          </w:r>
          <w:r>
            <w:rPr>
              <w:rFonts w:ascii="Tahoma" w:hAnsi="Tahoma" w:cs="Tahoma"/>
              <w:sz w:val="20"/>
              <w:lang w:val="id-ID"/>
            </w:rPr>
            <w:t>:</w:t>
          </w:r>
          <w:proofErr w:type="gramEnd"/>
          <w:r>
            <w:rPr>
              <w:rFonts w:ascii="Tahoma" w:hAnsi="Tahoma" w:cs="Tahoma"/>
              <w:sz w:val="20"/>
              <w:lang w:val="id-ID"/>
            </w:rPr>
            <w:t xml:space="preserve"> </w:t>
          </w:r>
          <w:proofErr w:type="spellStart"/>
          <w:r>
            <w:rPr>
              <w:rFonts w:ascii="Tahoma" w:hAnsi="Tahoma" w:cs="Tahoma"/>
              <w:sz w:val="20"/>
            </w:rPr>
            <w:t>Pengabdian</w:t>
          </w:r>
          <w:proofErr w:type="spellEnd"/>
          <w:r>
            <w:rPr>
              <w:rFonts w:ascii="Tahoma" w:hAnsi="Tahoma" w:cs="Tahoma"/>
              <w:sz w:val="20"/>
            </w:rPr>
            <w:t xml:space="preserve"> Kepada Masyarakat </w:t>
          </w:r>
          <w:proofErr w:type="spellStart"/>
          <w:r>
            <w:rPr>
              <w:rFonts w:ascii="Tahoma" w:hAnsi="Tahoma" w:cs="Tahoma"/>
              <w:sz w:val="20"/>
            </w:rPr>
            <w:t>Bidang</w:t>
          </w:r>
          <w:proofErr w:type="spellEnd"/>
          <w:r>
            <w:rPr>
              <w:rFonts w:ascii="Tahoma" w:hAnsi="Tahoma" w:cs="Tahoma"/>
              <w:sz w:val="20"/>
            </w:rPr>
            <w:t xml:space="preserve"> Teknologi </w:t>
          </w:r>
          <w:proofErr w:type="spellStart"/>
          <w:r>
            <w:rPr>
              <w:rFonts w:ascii="Tahoma" w:hAnsi="Tahoma" w:cs="Tahoma"/>
              <w:sz w:val="20"/>
            </w:rPr>
            <w:t>Informasi</w:t>
          </w:r>
          <w:proofErr w:type="spellEnd"/>
          <w:r>
            <w:rPr>
              <w:rFonts w:ascii="Tahoma" w:hAnsi="Tahoma" w:cs="Tahoma"/>
              <w:sz w:val="20"/>
            </w:rPr>
            <w:t xml:space="preserve"> dan </w:t>
          </w:r>
          <w:proofErr w:type="spellStart"/>
          <w:r>
            <w:rPr>
              <w:rFonts w:ascii="Tahoma" w:hAnsi="Tahoma" w:cs="Tahoma"/>
              <w:sz w:val="20"/>
            </w:rPr>
            <w:t>Sistem</w:t>
          </w:r>
          <w:proofErr w:type="spellEnd"/>
          <w:r>
            <w:rPr>
              <w:rFonts w:ascii="Tahoma" w:hAnsi="Tahoma" w:cs="Tahoma"/>
              <w:sz w:val="20"/>
            </w:rPr>
            <w:t xml:space="preserve"> </w:t>
          </w:r>
          <w:proofErr w:type="spellStart"/>
          <w:r>
            <w:rPr>
              <w:rFonts w:ascii="Tahoma" w:hAnsi="Tahoma" w:cs="Tahoma"/>
              <w:sz w:val="20"/>
            </w:rPr>
            <w:t>Informasi</w:t>
          </w:r>
          <w:proofErr w:type="spellEnd"/>
        </w:p>
      </w:tc>
      <w:tc>
        <w:tcPr>
          <w:tcW w:w="540" w:type="dxa"/>
          <w:shd w:val="clear" w:color="auto" w:fill="FFFFFF"/>
        </w:tcPr>
        <w:p w14:paraId="23C02DE1" w14:textId="77777777" w:rsidR="00437AC7" w:rsidRPr="008A0AA1" w:rsidRDefault="00000000" w:rsidP="00812813">
          <w:pPr>
            <w:pStyle w:val="NoSpacing"/>
            <w:jc w:val="center"/>
            <w:rPr>
              <w:rFonts w:ascii="Tahoma" w:hAnsi="Tahoma" w:cs="Tahoma"/>
              <w:sz w:val="20"/>
              <w:lang w:val="id-ID"/>
            </w:rPr>
          </w:pPr>
          <w:r w:rsidRPr="008A0AA1">
            <w:rPr>
              <w:rFonts w:ascii="Tahoma" w:hAnsi="Tahoma" w:cs="Tahoma"/>
              <w:sz w:val="20"/>
              <w:lang w:val="id-ID"/>
            </w:rPr>
            <w:fldChar w:fldCharType="begin"/>
          </w:r>
          <w:r w:rsidRPr="008A0AA1">
            <w:rPr>
              <w:rFonts w:ascii="Tahoma" w:hAnsi="Tahoma" w:cs="Tahoma"/>
              <w:sz w:val="20"/>
              <w:lang w:val="id-ID"/>
            </w:rPr>
            <w:instrText xml:space="preserve"> PAGE   \* MERGEFORMAT </w:instrText>
          </w:r>
          <w:r w:rsidRPr="008A0AA1">
            <w:rPr>
              <w:rFonts w:ascii="Tahoma" w:hAnsi="Tahoma" w:cs="Tahoma"/>
              <w:sz w:val="20"/>
              <w:lang w:val="id-ID"/>
            </w:rPr>
            <w:fldChar w:fldCharType="separate"/>
          </w:r>
          <w:r>
            <w:rPr>
              <w:rFonts w:ascii="Tahoma" w:hAnsi="Tahoma" w:cs="Tahoma"/>
              <w:noProof/>
              <w:sz w:val="20"/>
              <w:lang w:val="id-ID"/>
            </w:rPr>
            <w:t>4</w:t>
          </w:r>
          <w:r w:rsidRPr="008A0AA1">
            <w:rPr>
              <w:rFonts w:ascii="Tahoma" w:hAnsi="Tahoma" w:cs="Tahoma"/>
              <w:noProof/>
              <w:sz w:val="20"/>
              <w:lang w:val="id-ID"/>
            </w:rPr>
            <w:fldChar w:fldCharType="end"/>
          </w:r>
        </w:p>
      </w:tc>
    </w:tr>
    <w:tr w:rsidR="00812813" w:rsidRPr="008A0AA1" w14:paraId="054C3F85" w14:textId="77777777" w:rsidTr="00DB0BDF">
      <w:trPr>
        <w:trHeight w:val="267"/>
      </w:trPr>
      <w:tc>
        <w:tcPr>
          <w:tcW w:w="2802" w:type="dxa"/>
          <w:shd w:val="clear" w:color="auto" w:fill="FFFFFF"/>
        </w:tcPr>
        <w:p w14:paraId="66AAEFBC" w14:textId="77777777" w:rsidR="00437AC7" w:rsidRPr="001301D9" w:rsidRDefault="00000000" w:rsidP="00812813">
          <w:pPr>
            <w:pStyle w:val="NoSpacing"/>
            <w:rPr>
              <w:rFonts w:ascii="Tahoma" w:hAnsi="Tahoma" w:cs="Tahoma"/>
              <w:sz w:val="20"/>
              <w:lang w:val="id-ID"/>
            </w:rPr>
          </w:pPr>
          <w:r>
            <w:rPr>
              <w:rFonts w:ascii="Tahoma" w:hAnsi="Tahoma" w:cs="Tahoma"/>
              <w:sz w:val="20"/>
              <w:lang w:val="id-ID"/>
            </w:rPr>
            <w:t>Vol. 1</w:t>
          </w:r>
          <w:r w:rsidRPr="008A0AA1">
            <w:rPr>
              <w:rFonts w:ascii="Tahoma" w:hAnsi="Tahoma" w:cs="Tahoma"/>
              <w:sz w:val="20"/>
            </w:rPr>
            <w:t xml:space="preserve">, </w:t>
          </w:r>
          <w:r>
            <w:rPr>
              <w:rFonts w:ascii="Tahoma" w:hAnsi="Tahoma" w:cs="Tahoma"/>
              <w:sz w:val="20"/>
              <w:lang w:val="id-ID"/>
            </w:rPr>
            <w:t>No. 1</w:t>
          </w:r>
          <w:r w:rsidRPr="008A0AA1">
            <w:rPr>
              <w:rFonts w:ascii="Tahoma" w:hAnsi="Tahoma" w:cs="Tahoma"/>
              <w:sz w:val="20"/>
            </w:rPr>
            <w:t xml:space="preserve"> </w:t>
          </w:r>
          <w:r>
            <w:rPr>
              <w:rFonts w:ascii="Tahoma" w:hAnsi="Tahoma" w:cs="Tahoma"/>
              <w:sz w:val="20"/>
            </w:rPr>
            <w:t>Mei</w:t>
          </w:r>
          <w:r>
            <w:rPr>
              <w:rFonts w:ascii="Tahoma" w:hAnsi="Tahoma" w:cs="Tahoma"/>
              <w:sz w:val="20"/>
              <w:lang w:val="id-ID"/>
            </w:rPr>
            <w:t xml:space="preserve"> 20</w:t>
          </w:r>
          <w:r>
            <w:rPr>
              <w:rFonts w:ascii="Tahoma" w:hAnsi="Tahoma" w:cs="Tahoma"/>
              <w:sz w:val="20"/>
            </w:rPr>
            <w:t xml:space="preserve">22  </w:t>
          </w:r>
        </w:p>
      </w:tc>
      <w:tc>
        <w:tcPr>
          <w:tcW w:w="2126" w:type="dxa"/>
          <w:shd w:val="clear" w:color="auto" w:fill="FFFFFF"/>
        </w:tcPr>
        <w:p w14:paraId="46BBEA38" w14:textId="77777777" w:rsidR="00437AC7" w:rsidRDefault="00000000" w:rsidP="00812813">
          <w:pPr>
            <w:pStyle w:val="NoSpacing"/>
            <w:rPr>
              <w:rFonts w:ascii="Tahoma" w:hAnsi="Tahoma" w:cs="Tahoma"/>
              <w:sz w:val="20"/>
              <w:lang w:val="id-ID"/>
            </w:rPr>
          </w:pPr>
          <w:r>
            <w:rPr>
              <w:rFonts w:ascii="Tahoma" w:hAnsi="Tahoma" w:cs="Tahoma"/>
              <w:sz w:val="20"/>
              <w:lang w:val="id-ID"/>
            </w:rPr>
            <w:t>e-ISSN xxxx-xxxx</w:t>
          </w:r>
        </w:p>
      </w:tc>
      <w:tc>
        <w:tcPr>
          <w:tcW w:w="3686" w:type="dxa"/>
          <w:shd w:val="clear" w:color="auto" w:fill="FFFFFF"/>
        </w:tcPr>
        <w:p w14:paraId="321547E7" w14:textId="77777777" w:rsidR="00437AC7" w:rsidRPr="008A0AA1" w:rsidRDefault="00000000" w:rsidP="00812813">
          <w:pPr>
            <w:pStyle w:val="NoSpacing"/>
            <w:jc w:val="right"/>
            <w:rPr>
              <w:rFonts w:ascii="Tahoma" w:hAnsi="Tahoma" w:cs="Tahoma"/>
              <w:sz w:val="20"/>
              <w:lang w:val="id-ID"/>
            </w:rPr>
          </w:pPr>
          <w:r>
            <w:rPr>
              <w:rFonts w:ascii="Tahoma" w:hAnsi="Tahoma" w:cs="Tahoma"/>
              <w:sz w:val="20"/>
              <w:lang w:val="id-ID"/>
            </w:rPr>
            <w:t>DOI : (editors)</w:t>
          </w:r>
        </w:p>
      </w:tc>
      <w:tc>
        <w:tcPr>
          <w:tcW w:w="540" w:type="dxa"/>
          <w:shd w:val="clear" w:color="auto" w:fill="FFFFFF"/>
        </w:tcPr>
        <w:p w14:paraId="75742F6C" w14:textId="77777777" w:rsidR="00437AC7" w:rsidRPr="008A0AA1" w:rsidRDefault="00437AC7" w:rsidP="00812813">
          <w:pPr>
            <w:pStyle w:val="NoSpacing"/>
            <w:jc w:val="center"/>
            <w:rPr>
              <w:rFonts w:ascii="Tahoma" w:hAnsi="Tahoma" w:cs="Tahoma"/>
              <w:sz w:val="20"/>
              <w:lang w:val="id-ID"/>
            </w:rPr>
          </w:pPr>
        </w:p>
      </w:tc>
    </w:tr>
  </w:tbl>
  <w:p w14:paraId="592D7967" w14:textId="77777777" w:rsidR="00437AC7" w:rsidRDefault="00437AC7" w:rsidP="001D4867">
    <w:pPr>
      <w:pStyle w:val="Header"/>
      <w:jc w:val="both"/>
    </w:pPr>
  </w:p>
  <w:p w14:paraId="1996AD97" w14:textId="77777777" w:rsidR="005F1FA8" w:rsidRDefault="005F1F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111F" w14:textId="5CD6AD3C" w:rsidR="003C38E1" w:rsidRDefault="001726DE" w:rsidP="00071277">
    <w:pPr>
      <w:pStyle w:val="Header"/>
    </w:pPr>
    <w:r>
      <w:rPr>
        <w:noProof/>
        <w14:ligatures w14:val="standardContextual"/>
      </w:rPr>
      <w:drawing>
        <wp:inline distT="0" distB="0" distL="0" distR="0" wp14:anchorId="32C0C6AA" wp14:editId="0EA12B5F">
          <wp:extent cx="5373635" cy="728473"/>
          <wp:effectExtent l="0" t="0" r="0" b="0"/>
          <wp:docPr id="948429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29279" name="Picture 948429279"/>
                  <pic:cNvPicPr/>
                </pic:nvPicPr>
                <pic:blipFill>
                  <a:blip r:embed="rId1">
                    <a:extLst>
                      <a:ext uri="{28A0092B-C50C-407E-A947-70E740481C1C}">
                        <a14:useLocalDpi xmlns:a14="http://schemas.microsoft.com/office/drawing/2010/main" val="0"/>
                      </a:ext>
                    </a:extLst>
                  </a:blip>
                  <a:stretch>
                    <a:fillRect/>
                  </a:stretch>
                </pic:blipFill>
                <pic:spPr>
                  <a:xfrm>
                    <a:off x="0" y="0"/>
                    <a:ext cx="5373635" cy="728473"/>
                  </a:xfrm>
                  <a:prstGeom prst="rect">
                    <a:avLst/>
                  </a:prstGeom>
                </pic:spPr>
              </pic:pic>
            </a:graphicData>
          </a:graphic>
        </wp:inline>
      </w:drawing>
    </w:r>
    <w:r w:rsidR="00EC3A6D">
      <w:rPr>
        <w:noProof/>
      </w:rPr>
      <w:drawing>
        <wp:anchor distT="0" distB="0" distL="114300" distR="114300" simplePos="0" relativeHeight="251658240" behindDoc="0" locked="0" layoutInCell="1" allowOverlap="1" wp14:anchorId="2D3B6798" wp14:editId="4165AA66">
          <wp:simplePos x="0" y="0"/>
          <wp:positionH relativeFrom="column">
            <wp:posOffset>1570990</wp:posOffset>
          </wp:positionH>
          <wp:positionV relativeFrom="paragraph">
            <wp:posOffset>-1355090</wp:posOffset>
          </wp:positionV>
          <wp:extent cx="3261360" cy="689610"/>
          <wp:effectExtent l="0" t="0" r="0" b="0"/>
          <wp:wrapNone/>
          <wp:docPr id="161090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136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793015" w14:textId="77777777" w:rsidR="005F1FA8" w:rsidRDefault="005F1F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5" w:type="dxa"/>
      <w:tblLayout w:type="fixed"/>
      <w:tblLook w:val="0000" w:firstRow="0" w:lastRow="0" w:firstColumn="0" w:lastColumn="0" w:noHBand="0" w:noVBand="0"/>
    </w:tblPr>
    <w:tblGrid>
      <w:gridCol w:w="2802"/>
      <w:gridCol w:w="2126"/>
      <w:gridCol w:w="3827"/>
      <w:gridCol w:w="540"/>
    </w:tblGrid>
    <w:tr w:rsidR="00812813" w:rsidRPr="00A56965" w14:paraId="7C801A0F" w14:textId="77777777" w:rsidTr="003E5366">
      <w:trPr>
        <w:trHeight w:val="267"/>
      </w:trPr>
      <w:tc>
        <w:tcPr>
          <w:tcW w:w="8755" w:type="dxa"/>
          <w:gridSpan w:val="3"/>
          <w:shd w:val="clear" w:color="auto" w:fill="FFFFFF"/>
        </w:tcPr>
        <w:p w14:paraId="3F56AA04" w14:textId="77777777" w:rsidR="00437AC7" w:rsidRPr="002152F3" w:rsidRDefault="00000000" w:rsidP="00812813">
          <w:pPr>
            <w:pStyle w:val="NoSpacing"/>
            <w:rPr>
              <w:rFonts w:ascii="Times New Roman" w:hAnsi="Times New Roman"/>
              <w:sz w:val="20"/>
            </w:rPr>
          </w:pPr>
          <w:proofErr w:type="gramStart"/>
          <w:r>
            <w:rPr>
              <w:rFonts w:ascii="Times New Roman" w:hAnsi="Times New Roman"/>
              <w:sz w:val="20"/>
            </w:rPr>
            <w:t>TRANSFORM :</w:t>
          </w:r>
          <w:proofErr w:type="gramEnd"/>
          <w:r>
            <w:rPr>
              <w:rFonts w:ascii="Times New Roman" w:hAnsi="Times New Roman"/>
              <w:sz w:val="20"/>
            </w:rPr>
            <w:t xml:space="preserve"> Jurnal of Tropical Architecture and Sustainable Urban Science</w:t>
          </w:r>
        </w:p>
      </w:tc>
      <w:tc>
        <w:tcPr>
          <w:tcW w:w="540" w:type="dxa"/>
          <w:shd w:val="clear" w:color="auto" w:fill="FFFFFF"/>
        </w:tcPr>
        <w:p w14:paraId="7AC541F4" w14:textId="77777777" w:rsidR="00437AC7" w:rsidRPr="00A56965" w:rsidRDefault="00000000" w:rsidP="001D4867">
          <w:pPr>
            <w:pStyle w:val="NoSpacing"/>
            <w:jc w:val="center"/>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1</w:t>
          </w:r>
          <w:r w:rsidRPr="00A56965">
            <w:rPr>
              <w:rFonts w:ascii="Times New Roman" w:hAnsi="Times New Roman"/>
              <w:noProof/>
              <w:sz w:val="20"/>
              <w:lang w:val="id-ID"/>
            </w:rPr>
            <w:fldChar w:fldCharType="end"/>
          </w:r>
        </w:p>
      </w:tc>
    </w:tr>
    <w:tr w:rsidR="00812813" w:rsidRPr="00A56965" w14:paraId="22FEEDFD" w14:textId="77777777" w:rsidTr="003E5366">
      <w:trPr>
        <w:trHeight w:val="267"/>
      </w:trPr>
      <w:tc>
        <w:tcPr>
          <w:tcW w:w="2802" w:type="dxa"/>
          <w:tcBorders>
            <w:bottom w:val="single" w:sz="4" w:space="0" w:color="000000"/>
          </w:tcBorders>
          <w:shd w:val="clear" w:color="auto" w:fill="FFFFFF"/>
        </w:tcPr>
        <w:p w14:paraId="5974AB5B" w14:textId="77777777" w:rsidR="00437AC7" w:rsidRPr="00A56965" w:rsidRDefault="00000000" w:rsidP="00812813">
          <w:pPr>
            <w:pStyle w:val="NoSpacing"/>
            <w:rPr>
              <w:rFonts w:ascii="Times New Roman" w:hAnsi="Times New Roman"/>
              <w:sz w:val="20"/>
              <w:lang w:val="id-ID"/>
            </w:rPr>
          </w:pPr>
          <w:r>
            <w:rPr>
              <w:rFonts w:ascii="Times New Roman" w:hAnsi="Times New Roman"/>
              <w:sz w:val="20"/>
              <w:lang w:val="id-ID"/>
            </w:rPr>
            <w:t>Vol. 1, No. 1 Juli</w:t>
          </w:r>
          <w:r w:rsidRPr="00A56965">
            <w:rPr>
              <w:rFonts w:ascii="Times New Roman" w:hAnsi="Times New Roman"/>
              <w:sz w:val="20"/>
              <w:lang w:val="id-ID"/>
            </w:rPr>
            <w:t xml:space="preserve"> 2022  </w:t>
          </w:r>
        </w:p>
      </w:tc>
      <w:tc>
        <w:tcPr>
          <w:tcW w:w="2126" w:type="dxa"/>
          <w:tcBorders>
            <w:bottom w:val="single" w:sz="4" w:space="0" w:color="000000"/>
          </w:tcBorders>
          <w:shd w:val="clear" w:color="auto" w:fill="FFFFFF"/>
        </w:tcPr>
        <w:p w14:paraId="6BDEB047" w14:textId="77777777" w:rsidR="00437AC7" w:rsidRPr="00A56965" w:rsidRDefault="00000000" w:rsidP="00812813">
          <w:pPr>
            <w:pStyle w:val="NoSpacing"/>
            <w:rPr>
              <w:rFonts w:ascii="Times New Roman" w:hAnsi="Times New Roman"/>
              <w:sz w:val="20"/>
              <w:lang w:val="id-ID"/>
            </w:rPr>
          </w:pPr>
          <w:r w:rsidRPr="00A56965">
            <w:rPr>
              <w:rFonts w:ascii="Times New Roman" w:hAnsi="Times New Roman"/>
              <w:sz w:val="20"/>
              <w:lang w:val="id-ID"/>
            </w:rPr>
            <w:t>e-ISSN xxxx-xxxx</w:t>
          </w:r>
        </w:p>
      </w:tc>
      <w:tc>
        <w:tcPr>
          <w:tcW w:w="3827" w:type="dxa"/>
          <w:tcBorders>
            <w:bottom w:val="single" w:sz="4" w:space="0" w:color="000000"/>
          </w:tcBorders>
          <w:shd w:val="clear" w:color="auto" w:fill="FFFFFF"/>
        </w:tcPr>
        <w:p w14:paraId="591D750C" w14:textId="77777777" w:rsidR="00437AC7" w:rsidRPr="00A56965" w:rsidRDefault="00000000" w:rsidP="001D4867">
          <w:pPr>
            <w:pStyle w:val="NoSpacing"/>
            <w:jc w:val="right"/>
            <w:rPr>
              <w:rFonts w:ascii="Times New Roman" w:hAnsi="Times New Roman"/>
              <w:sz w:val="20"/>
              <w:lang w:val="id-ID"/>
            </w:rPr>
          </w:pPr>
          <w:r w:rsidRPr="00A56965">
            <w:rPr>
              <w:rFonts w:ascii="Times New Roman" w:hAnsi="Times New Roman"/>
              <w:sz w:val="20"/>
              <w:lang w:val="id-ID"/>
            </w:rPr>
            <w:t>DOI : (editors)</w:t>
          </w:r>
        </w:p>
      </w:tc>
      <w:tc>
        <w:tcPr>
          <w:tcW w:w="540" w:type="dxa"/>
          <w:tcBorders>
            <w:bottom w:val="single" w:sz="4" w:space="0" w:color="000000"/>
          </w:tcBorders>
          <w:shd w:val="clear" w:color="auto" w:fill="FFFFFF"/>
        </w:tcPr>
        <w:p w14:paraId="5A2044DE" w14:textId="77777777" w:rsidR="00437AC7" w:rsidRPr="00A56965" w:rsidRDefault="00437AC7" w:rsidP="001D4867">
          <w:pPr>
            <w:pStyle w:val="NoSpacing"/>
            <w:jc w:val="center"/>
            <w:rPr>
              <w:rFonts w:ascii="Times New Roman" w:hAnsi="Times New Roman"/>
              <w:sz w:val="20"/>
              <w:lang w:val="id-ID"/>
            </w:rPr>
          </w:pPr>
        </w:p>
      </w:tc>
    </w:tr>
  </w:tbl>
  <w:p w14:paraId="28FCC79F" w14:textId="77777777" w:rsidR="00437AC7" w:rsidRDefault="00437AC7" w:rsidP="001D4867">
    <w:pPr>
      <w:pStyle w:val="Header"/>
      <w:jc w:val="both"/>
    </w:pPr>
  </w:p>
  <w:p w14:paraId="28CC24F1" w14:textId="77777777" w:rsidR="005F1FA8" w:rsidRDefault="005F1FA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6C9DA824" w14:textId="77777777" w:rsidTr="00980B82">
      <w:trPr>
        <w:trHeight w:val="267"/>
      </w:trPr>
      <w:tc>
        <w:tcPr>
          <w:tcW w:w="8725" w:type="dxa"/>
          <w:gridSpan w:val="3"/>
          <w:shd w:val="clear" w:color="auto" w:fill="FFFFFF"/>
        </w:tcPr>
        <w:p w14:paraId="478966EF" w14:textId="77777777" w:rsidR="00437AC7" w:rsidRPr="00FC72B9" w:rsidRDefault="00000000"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7D3EC878" w14:textId="77777777" w:rsidR="00437AC7" w:rsidRPr="00A56965" w:rsidRDefault="00000000"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2B74819D" w14:textId="77777777" w:rsidTr="00980B82">
      <w:trPr>
        <w:trHeight w:val="267"/>
      </w:trPr>
      <w:tc>
        <w:tcPr>
          <w:tcW w:w="1975" w:type="dxa"/>
          <w:tcBorders>
            <w:bottom w:val="single" w:sz="4" w:space="0" w:color="auto"/>
          </w:tcBorders>
          <w:shd w:val="clear" w:color="auto" w:fill="FFFFFF"/>
        </w:tcPr>
        <w:p w14:paraId="7748535A" w14:textId="77777777" w:rsidR="00437AC7" w:rsidRPr="00A56965" w:rsidRDefault="00000000"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2CB2A1A7" w14:textId="77777777" w:rsidR="00437AC7" w:rsidRPr="00A56965" w:rsidRDefault="00000000" w:rsidP="00241015">
          <w:pPr>
            <w:pStyle w:val="NoSpacing"/>
            <w:rPr>
              <w:rFonts w:ascii="Times New Roman" w:hAnsi="Times New Roman"/>
              <w:sz w:val="20"/>
              <w:lang w:val="id-ID"/>
            </w:rPr>
          </w:pPr>
          <w:r w:rsidRPr="00A56965">
            <w:rPr>
              <w:rFonts w:ascii="Times New Roman" w:hAnsi="Times New Roman"/>
              <w:sz w:val="20"/>
              <w:lang w:val="id-ID"/>
            </w:rPr>
            <w:t>DOI: (editors)</w:t>
          </w:r>
        </w:p>
      </w:tc>
      <w:tc>
        <w:tcPr>
          <w:tcW w:w="4770" w:type="dxa"/>
          <w:gridSpan w:val="2"/>
          <w:tcBorders>
            <w:bottom w:val="single" w:sz="4" w:space="0" w:color="auto"/>
          </w:tcBorders>
          <w:shd w:val="clear" w:color="auto" w:fill="FFFFFF"/>
        </w:tcPr>
        <w:p w14:paraId="5BF0442E" w14:textId="77777777" w:rsidR="00437AC7" w:rsidRPr="00A56965" w:rsidRDefault="00000000"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(editors)</w:t>
          </w:r>
        </w:p>
      </w:tc>
    </w:tr>
  </w:tbl>
  <w:p w14:paraId="2F9D22E7" w14:textId="77777777" w:rsidR="00437AC7" w:rsidRPr="009E25E4" w:rsidRDefault="00437AC7" w:rsidP="001D4867">
    <w:pPr>
      <w:pStyle w:val="Header"/>
      <w:jc w:val="both"/>
      <w:rPr>
        <w:sz w:val="4"/>
      </w:rPr>
    </w:pPr>
  </w:p>
  <w:p w14:paraId="16C0DFB9" w14:textId="77777777" w:rsidR="005F1FA8" w:rsidRDefault="005F1FA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855"/>
    </w:tblGrid>
    <w:tr w:rsidR="002C66F9" w14:paraId="528D5598" w14:textId="77777777" w:rsidTr="002C66F9">
      <w:tc>
        <w:tcPr>
          <w:tcW w:w="4855" w:type="dxa"/>
          <w:tcBorders>
            <w:bottom w:val="nil"/>
          </w:tcBorders>
        </w:tcPr>
        <w:p w14:paraId="5F0F367D" w14:textId="1D13B0E5" w:rsidR="002C66F9" w:rsidRPr="005361E2" w:rsidRDefault="00DA48EF" w:rsidP="002C66F9">
          <w:pPr>
            <w:pStyle w:val="Header"/>
            <w:jc w:val="left"/>
            <w:rPr>
              <w:rFonts w:ascii="Helvetica" w:hAnsi="Helvetica"/>
            </w:rPr>
          </w:pPr>
          <w:proofErr w:type="spellStart"/>
          <w:r>
            <w:rPr>
              <w:rFonts w:ascii="Helvetica" w:hAnsi="Helvetica"/>
            </w:rPr>
            <w:t>Penulis</w:t>
          </w:r>
          <w:proofErr w:type="spellEnd"/>
          <w:r>
            <w:rPr>
              <w:rFonts w:ascii="Helvetica" w:hAnsi="Helvetica"/>
            </w:rPr>
            <w:t xml:space="preserve"> 1</w:t>
          </w:r>
          <w:r w:rsidR="00B50122">
            <w:rPr>
              <w:rFonts w:ascii="Helvetica" w:hAnsi="Helvetica"/>
            </w:rPr>
            <w:t xml:space="preserve">, </w:t>
          </w:r>
          <w:proofErr w:type="spellStart"/>
          <w:r w:rsidR="00B50122">
            <w:rPr>
              <w:rFonts w:ascii="Helvetica" w:hAnsi="Helvetica"/>
            </w:rPr>
            <w:t>dkk</w:t>
          </w:r>
          <w:proofErr w:type="spellEnd"/>
        </w:p>
      </w:tc>
      <w:tc>
        <w:tcPr>
          <w:tcW w:w="4855" w:type="dxa"/>
          <w:tcBorders>
            <w:bottom w:val="nil"/>
          </w:tcBorders>
        </w:tcPr>
        <w:p w14:paraId="65AA550A" w14:textId="069B0970" w:rsidR="002C66F9" w:rsidRPr="005361E2" w:rsidRDefault="002C66F9" w:rsidP="005361E2">
          <w:pPr>
            <w:pStyle w:val="Header"/>
            <w:jc w:val="right"/>
            <w:rPr>
              <w:rFonts w:ascii="Helvetica" w:hAnsi="Helvetica"/>
            </w:rPr>
          </w:pPr>
        </w:p>
      </w:tc>
    </w:tr>
    <w:tr w:rsidR="002C66F9" w14:paraId="58E48F28" w14:textId="77777777" w:rsidTr="002C66F9">
      <w:trPr>
        <w:trHeight w:val="86"/>
      </w:trPr>
      <w:tc>
        <w:tcPr>
          <w:tcW w:w="9710" w:type="dxa"/>
          <w:gridSpan w:val="2"/>
          <w:tcBorders>
            <w:bottom w:val="single" w:sz="12" w:space="0" w:color="auto"/>
          </w:tcBorders>
        </w:tcPr>
        <w:p w14:paraId="1B384610" w14:textId="77777777" w:rsidR="002C66F9" w:rsidRPr="002C66F9" w:rsidRDefault="002C66F9" w:rsidP="004F03D9">
          <w:pPr>
            <w:pStyle w:val="Header"/>
            <w:rPr>
              <w:sz w:val="4"/>
              <w:szCs w:val="4"/>
            </w:rPr>
          </w:pPr>
        </w:p>
      </w:tc>
    </w:tr>
  </w:tbl>
  <w:p w14:paraId="54CBD745" w14:textId="3A3E08F9" w:rsidR="00437AC7" w:rsidRPr="004F03D9" w:rsidRDefault="00437AC7" w:rsidP="004F03D9">
    <w:pPr>
      <w:pStyle w:val="Header"/>
    </w:pPr>
  </w:p>
  <w:p w14:paraId="7C7A73C3" w14:textId="77777777" w:rsidR="005F1FA8" w:rsidRDefault="005F1FA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1257501C" w14:textId="77777777" w:rsidTr="00DB0BDF">
      <w:trPr>
        <w:trHeight w:val="267"/>
      </w:trPr>
      <w:tc>
        <w:tcPr>
          <w:tcW w:w="4809" w:type="dxa"/>
          <w:shd w:val="clear" w:color="auto" w:fill="FFFFFF"/>
          <w:hideMark/>
        </w:tcPr>
        <w:p w14:paraId="70455CF6" w14:textId="77777777" w:rsidR="00437AC7" w:rsidRPr="00DA1F75" w:rsidRDefault="00000000" w:rsidP="00DB0BDF">
          <w:pPr>
            <w:pStyle w:val="NoSpacing"/>
            <w:rPr>
              <w:rFonts w:ascii="Times New Roman" w:hAnsi="Times New Roman"/>
              <w:sz w:val="20"/>
            </w:rPr>
          </w:pPr>
          <w:proofErr w:type="gramStart"/>
          <w:r>
            <w:rPr>
              <w:rFonts w:ascii="Times New Roman" w:hAnsi="Times New Roman"/>
              <w:sz w:val="20"/>
            </w:rPr>
            <w:t>ATASI :</w:t>
          </w:r>
          <w:proofErr w:type="gramEnd"/>
          <w:r>
            <w:rPr>
              <w:rFonts w:ascii="Times New Roman" w:hAnsi="Times New Roman"/>
              <w:sz w:val="20"/>
            </w:rPr>
            <w:t xml:space="preserve"> </w:t>
          </w:r>
          <w:proofErr w:type="spellStart"/>
          <w:r>
            <w:rPr>
              <w:rFonts w:ascii="Times New Roman" w:hAnsi="Times New Roman"/>
              <w:sz w:val="20"/>
            </w:rPr>
            <w:t>Adopsi</w:t>
          </w:r>
          <w:proofErr w:type="spellEnd"/>
          <w:r>
            <w:rPr>
              <w:rFonts w:ascii="Times New Roman" w:hAnsi="Times New Roman"/>
              <w:sz w:val="20"/>
            </w:rPr>
            <w:t xml:space="preserve"> Teknologi dan </w:t>
          </w:r>
          <w:proofErr w:type="spellStart"/>
          <w:r>
            <w:rPr>
              <w:rFonts w:ascii="Times New Roman" w:hAnsi="Times New Roman"/>
              <w:sz w:val="20"/>
            </w:rPr>
            <w:t>Sistem</w:t>
          </w:r>
          <w:proofErr w:type="spellEnd"/>
          <w:r>
            <w:rPr>
              <w:rFonts w:ascii="Times New Roman" w:hAnsi="Times New Roman"/>
              <w:sz w:val="20"/>
            </w:rPr>
            <w:t xml:space="preserve"> </w:t>
          </w:r>
          <w:proofErr w:type="spellStart"/>
          <w:r>
            <w:rPr>
              <w:rFonts w:ascii="Times New Roman" w:hAnsi="Times New Roman"/>
              <w:sz w:val="20"/>
            </w:rPr>
            <w:t>Informasi</w:t>
          </w:r>
          <w:proofErr w:type="spellEnd"/>
        </w:p>
      </w:tc>
      <w:tc>
        <w:tcPr>
          <w:tcW w:w="4264" w:type="dxa"/>
          <w:shd w:val="clear" w:color="auto" w:fill="FFFFFF"/>
          <w:hideMark/>
        </w:tcPr>
        <w:p w14:paraId="300C4D6F" w14:textId="77777777" w:rsidR="00437AC7" w:rsidRPr="00FB3A4F" w:rsidRDefault="00000000"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3035817" w14:textId="77777777" w:rsidR="00437AC7" w:rsidRPr="00FB3A4F" w:rsidRDefault="00000000"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328DD31" w14:textId="77777777" w:rsidTr="00DB0BDF">
      <w:trPr>
        <w:trHeight w:val="267"/>
      </w:trPr>
      <w:tc>
        <w:tcPr>
          <w:tcW w:w="4809" w:type="dxa"/>
          <w:shd w:val="clear" w:color="auto" w:fill="FFFFFF"/>
          <w:hideMark/>
        </w:tcPr>
        <w:p w14:paraId="3AA90F46" w14:textId="77777777" w:rsidR="00437AC7" w:rsidRPr="00FB3A4F" w:rsidRDefault="00000000"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02BBC6C0" w14:textId="77777777" w:rsidR="00437AC7" w:rsidRPr="009E25E4" w:rsidRDefault="00000000"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78C470D0" w14:textId="77777777" w:rsidR="00437AC7" w:rsidRPr="00FB3A4F" w:rsidRDefault="00437AC7" w:rsidP="00DB0BDF">
          <w:pPr>
            <w:pStyle w:val="NoSpacing"/>
            <w:jc w:val="center"/>
            <w:rPr>
              <w:rFonts w:ascii="Times New Roman" w:hAnsi="Times New Roman"/>
              <w:sz w:val="20"/>
              <w:lang w:val="id-ID"/>
            </w:rPr>
          </w:pPr>
        </w:p>
      </w:tc>
    </w:tr>
  </w:tbl>
  <w:p w14:paraId="71BA747E" w14:textId="77777777" w:rsidR="00437AC7" w:rsidRPr="009E25E4" w:rsidRDefault="00437AC7" w:rsidP="001D4867">
    <w:pPr>
      <w:pStyle w:val="Header"/>
      <w:jc w:val="both"/>
      <w:rPr>
        <w:sz w:val="4"/>
      </w:rPr>
    </w:pPr>
  </w:p>
  <w:p w14:paraId="75BF7514" w14:textId="77777777" w:rsidR="005F1FA8" w:rsidRDefault="005F1F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3148"/>
    <w:multiLevelType w:val="hybridMultilevel"/>
    <w:tmpl w:val="97122DD8"/>
    <w:lvl w:ilvl="0" w:tplc="3F2ABCDA">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 w15:restartNumberingAfterBreak="0">
    <w:nsid w:val="151629CD"/>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BE2A17"/>
    <w:multiLevelType w:val="hybridMultilevel"/>
    <w:tmpl w:val="54BC2310"/>
    <w:lvl w:ilvl="0" w:tplc="52C6E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7244A8"/>
    <w:multiLevelType w:val="hybridMultilevel"/>
    <w:tmpl w:val="75DA949E"/>
    <w:lvl w:ilvl="0" w:tplc="13AC26A2">
      <w:start w:val="1"/>
      <w:numFmt w:val="decimal"/>
      <w:lvlText w:val="%1."/>
      <w:lvlJc w:val="left"/>
      <w:pPr>
        <w:ind w:left="634" w:hanging="360"/>
      </w:pPr>
      <w:rPr>
        <w:rFonts w:hint="default"/>
      </w:rPr>
    </w:lvl>
    <w:lvl w:ilvl="1" w:tplc="38090019" w:tentative="1">
      <w:start w:val="1"/>
      <w:numFmt w:val="lowerLetter"/>
      <w:lvlText w:val="%2."/>
      <w:lvlJc w:val="left"/>
      <w:pPr>
        <w:ind w:left="1354" w:hanging="360"/>
      </w:pPr>
    </w:lvl>
    <w:lvl w:ilvl="2" w:tplc="3809001B" w:tentative="1">
      <w:start w:val="1"/>
      <w:numFmt w:val="lowerRoman"/>
      <w:lvlText w:val="%3."/>
      <w:lvlJc w:val="right"/>
      <w:pPr>
        <w:ind w:left="2074" w:hanging="180"/>
      </w:pPr>
    </w:lvl>
    <w:lvl w:ilvl="3" w:tplc="3809000F" w:tentative="1">
      <w:start w:val="1"/>
      <w:numFmt w:val="decimal"/>
      <w:lvlText w:val="%4."/>
      <w:lvlJc w:val="left"/>
      <w:pPr>
        <w:ind w:left="2794" w:hanging="360"/>
      </w:pPr>
    </w:lvl>
    <w:lvl w:ilvl="4" w:tplc="38090019" w:tentative="1">
      <w:start w:val="1"/>
      <w:numFmt w:val="lowerLetter"/>
      <w:lvlText w:val="%5."/>
      <w:lvlJc w:val="left"/>
      <w:pPr>
        <w:ind w:left="3514" w:hanging="360"/>
      </w:pPr>
    </w:lvl>
    <w:lvl w:ilvl="5" w:tplc="3809001B" w:tentative="1">
      <w:start w:val="1"/>
      <w:numFmt w:val="lowerRoman"/>
      <w:lvlText w:val="%6."/>
      <w:lvlJc w:val="right"/>
      <w:pPr>
        <w:ind w:left="4234" w:hanging="180"/>
      </w:pPr>
    </w:lvl>
    <w:lvl w:ilvl="6" w:tplc="3809000F" w:tentative="1">
      <w:start w:val="1"/>
      <w:numFmt w:val="decimal"/>
      <w:lvlText w:val="%7."/>
      <w:lvlJc w:val="left"/>
      <w:pPr>
        <w:ind w:left="4954" w:hanging="360"/>
      </w:pPr>
    </w:lvl>
    <w:lvl w:ilvl="7" w:tplc="38090019" w:tentative="1">
      <w:start w:val="1"/>
      <w:numFmt w:val="lowerLetter"/>
      <w:lvlText w:val="%8."/>
      <w:lvlJc w:val="left"/>
      <w:pPr>
        <w:ind w:left="5674" w:hanging="360"/>
      </w:pPr>
    </w:lvl>
    <w:lvl w:ilvl="8" w:tplc="3809001B" w:tentative="1">
      <w:start w:val="1"/>
      <w:numFmt w:val="lowerRoman"/>
      <w:lvlText w:val="%9."/>
      <w:lvlJc w:val="right"/>
      <w:pPr>
        <w:ind w:left="6394" w:hanging="180"/>
      </w:pPr>
    </w:lvl>
  </w:abstractNum>
  <w:abstractNum w:abstractNumId="4" w15:restartNumberingAfterBreak="0">
    <w:nsid w:val="22E85F0B"/>
    <w:multiLevelType w:val="hybridMultilevel"/>
    <w:tmpl w:val="576425C0"/>
    <w:lvl w:ilvl="0" w:tplc="203E58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68B1E78"/>
    <w:multiLevelType w:val="hybridMultilevel"/>
    <w:tmpl w:val="CBDA04EA"/>
    <w:lvl w:ilvl="0" w:tplc="9486480E">
      <w:start w:val="1"/>
      <w:numFmt w:val="decimal"/>
      <w:lvlText w:val="%1."/>
      <w:lvlJc w:val="left"/>
      <w:pPr>
        <w:ind w:left="1037" w:hanging="360"/>
      </w:pPr>
      <w:rPr>
        <w:rFonts w:hint="default"/>
      </w:rPr>
    </w:lvl>
    <w:lvl w:ilvl="1" w:tplc="38090019" w:tentative="1">
      <w:start w:val="1"/>
      <w:numFmt w:val="lowerLetter"/>
      <w:lvlText w:val="%2."/>
      <w:lvlJc w:val="left"/>
      <w:pPr>
        <w:ind w:left="1757" w:hanging="360"/>
      </w:pPr>
    </w:lvl>
    <w:lvl w:ilvl="2" w:tplc="3809001B" w:tentative="1">
      <w:start w:val="1"/>
      <w:numFmt w:val="lowerRoman"/>
      <w:lvlText w:val="%3."/>
      <w:lvlJc w:val="right"/>
      <w:pPr>
        <w:ind w:left="2477" w:hanging="180"/>
      </w:pPr>
    </w:lvl>
    <w:lvl w:ilvl="3" w:tplc="3809000F" w:tentative="1">
      <w:start w:val="1"/>
      <w:numFmt w:val="decimal"/>
      <w:lvlText w:val="%4."/>
      <w:lvlJc w:val="left"/>
      <w:pPr>
        <w:ind w:left="3197" w:hanging="360"/>
      </w:pPr>
    </w:lvl>
    <w:lvl w:ilvl="4" w:tplc="38090019" w:tentative="1">
      <w:start w:val="1"/>
      <w:numFmt w:val="lowerLetter"/>
      <w:lvlText w:val="%5."/>
      <w:lvlJc w:val="left"/>
      <w:pPr>
        <w:ind w:left="3917" w:hanging="360"/>
      </w:pPr>
    </w:lvl>
    <w:lvl w:ilvl="5" w:tplc="3809001B" w:tentative="1">
      <w:start w:val="1"/>
      <w:numFmt w:val="lowerRoman"/>
      <w:lvlText w:val="%6."/>
      <w:lvlJc w:val="right"/>
      <w:pPr>
        <w:ind w:left="4637" w:hanging="180"/>
      </w:pPr>
    </w:lvl>
    <w:lvl w:ilvl="6" w:tplc="3809000F" w:tentative="1">
      <w:start w:val="1"/>
      <w:numFmt w:val="decimal"/>
      <w:lvlText w:val="%7."/>
      <w:lvlJc w:val="left"/>
      <w:pPr>
        <w:ind w:left="5357" w:hanging="360"/>
      </w:pPr>
    </w:lvl>
    <w:lvl w:ilvl="7" w:tplc="38090019" w:tentative="1">
      <w:start w:val="1"/>
      <w:numFmt w:val="lowerLetter"/>
      <w:lvlText w:val="%8."/>
      <w:lvlJc w:val="left"/>
      <w:pPr>
        <w:ind w:left="6077" w:hanging="360"/>
      </w:pPr>
    </w:lvl>
    <w:lvl w:ilvl="8" w:tplc="3809001B" w:tentative="1">
      <w:start w:val="1"/>
      <w:numFmt w:val="lowerRoman"/>
      <w:lvlText w:val="%9."/>
      <w:lvlJc w:val="right"/>
      <w:pPr>
        <w:ind w:left="6797" w:hanging="180"/>
      </w:pPr>
    </w:lvl>
  </w:abstractNum>
  <w:abstractNum w:abstractNumId="6" w15:restartNumberingAfterBreak="0">
    <w:nsid w:val="38F55F95"/>
    <w:multiLevelType w:val="hybridMultilevel"/>
    <w:tmpl w:val="8604CF5E"/>
    <w:lvl w:ilvl="0" w:tplc="BF0EFE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F09086D"/>
    <w:multiLevelType w:val="hybridMultilevel"/>
    <w:tmpl w:val="3B0499A0"/>
    <w:lvl w:ilvl="0" w:tplc="BF36FCC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04D1CCD"/>
    <w:multiLevelType w:val="multilevel"/>
    <w:tmpl w:val="3254373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FFE1C53"/>
    <w:multiLevelType w:val="hybridMultilevel"/>
    <w:tmpl w:val="9DF090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6025A5"/>
    <w:multiLevelType w:val="hybridMultilevel"/>
    <w:tmpl w:val="C1208AC8"/>
    <w:lvl w:ilvl="0" w:tplc="38090001">
      <w:start w:val="1"/>
      <w:numFmt w:val="bullet"/>
      <w:lvlText w:val=""/>
      <w:lvlJc w:val="left"/>
      <w:pPr>
        <w:ind w:left="1713" w:hanging="360"/>
      </w:pPr>
      <w:rPr>
        <w:rFonts w:ascii="Symbol" w:hAnsi="Symbol" w:hint="default"/>
      </w:rPr>
    </w:lvl>
    <w:lvl w:ilvl="1" w:tplc="38090003" w:tentative="1">
      <w:start w:val="1"/>
      <w:numFmt w:val="bullet"/>
      <w:lvlText w:val="o"/>
      <w:lvlJc w:val="left"/>
      <w:pPr>
        <w:ind w:left="2433" w:hanging="360"/>
      </w:pPr>
      <w:rPr>
        <w:rFonts w:ascii="Courier New" w:hAnsi="Courier New" w:cs="Courier New" w:hint="default"/>
      </w:rPr>
    </w:lvl>
    <w:lvl w:ilvl="2" w:tplc="38090005" w:tentative="1">
      <w:start w:val="1"/>
      <w:numFmt w:val="bullet"/>
      <w:lvlText w:val=""/>
      <w:lvlJc w:val="left"/>
      <w:pPr>
        <w:ind w:left="3153" w:hanging="360"/>
      </w:pPr>
      <w:rPr>
        <w:rFonts w:ascii="Wingdings" w:hAnsi="Wingdings" w:hint="default"/>
      </w:rPr>
    </w:lvl>
    <w:lvl w:ilvl="3" w:tplc="38090001" w:tentative="1">
      <w:start w:val="1"/>
      <w:numFmt w:val="bullet"/>
      <w:lvlText w:val=""/>
      <w:lvlJc w:val="left"/>
      <w:pPr>
        <w:ind w:left="3873" w:hanging="360"/>
      </w:pPr>
      <w:rPr>
        <w:rFonts w:ascii="Symbol" w:hAnsi="Symbol" w:hint="default"/>
      </w:rPr>
    </w:lvl>
    <w:lvl w:ilvl="4" w:tplc="38090003" w:tentative="1">
      <w:start w:val="1"/>
      <w:numFmt w:val="bullet"/>
      <w:lvlText w:val="o"/>
      <w:lvlJc w:val="left"/>
      <w:pPr>
        <w:ind w:left="4593" w:hanging="360"/>
      </w:pPr>
      <w:rPr>
        <w:rFonts w:ascii="Courier New" w:hAnsi="Courier New" w:cs="Courier New" w:hint="default"/>
      </w:rPr>
    </w:lvl>
    <w:lvl w:ilvl="5" w:tplc="38090005" w:tentative="1">
      <w:start w:val="1"/>
      <w:numFmt w:val="bullet"/>
      <w:lvlText w:val=""/>
      <w:lvlJc w:val="left"/>
      <w:pPr>
        <w:ind w:left="5313" w:hanging="360"/>
      </w:pPr>
      <w:rPr>
        <w:rFonts w:ascii="Wingdings" w:hAnsi="Wingdings" w:hint="default"/>
      </w:rPr>
    </w:lvl>
    <w:lvl w:ilvl="6" w:tplc="38090001" w:tentative="1">
      <w:start w:val="1"/>
      <w:numFmt w:val="bullet"/>
      <w:lvlText w:val=""/>
      <w:lvlJc w:val="left"/>
      <w:pPr>
        <w:ind w:left="6033" w:hanging="360"/>
      </w:pPr>
      <w:rPr>
        <w:rFonts w:ascii="Symbol" w:hAnsi="Symbol" w:hint="default"/>
      </w:rPr>
    </w:lvl>
    <w:lvl w:ilvl="7" w:tplc="38090003" w:tentative="1">
      <w:start w:val="1"/>
      <w:numFmt w:val="bullet"/>
      <w:lvlText w:val="o"/>
      <w:lvlJc w:val="left"/>
      <w:pPr>
        <w:ind w:left="6753" w:hanging="360"/>
      </w:pPr>
      <w:rPr>
        <w:rFonts w:ascii="Courier New" w:hAnsi="Courier New" w:cs="Courier New" w:hint="default"/>
      </w:rPr>
    </w:lvl>
    <w:lvl w:ilvl="8" w:tplc="38090005" w:tentative="1">
      <w:start w:val="1"/>
      <w:numFmt w:val="bullet"/>
      <w:lvlText w:val=""/>
      <w:lvlJc w:val="left"/>
      <w:pPr>
        <w:ind w:left="7473" w:hanging="360"/>
      </w:pPr>
      <w:rPr>
        <w:rFonts w:ascii="Wingdings" w:hAnsi="Wingdings" w:hint="default"/>
      </w:rPr>
    </w:lvl>
  </w:abstractNum>
  <w:abstractNum w:abstractNumId="12" w15:restartNumberingAfterBreak="0">
    <w:nsid w:val="69BA51CC"/>
    <w:multiLevelType w:val="hybridMultilevel"/>
    <w:tmpl w:val="DAD2231C"/>
    <w:lvl w:ilvl="0" w:tplc="97DC66D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3" w15:restartNumberingAfterBreak="0">
    <w:nsid w:val="6C402C58"/>
    <w:multiLevelType w:val="hybridMultilevel"/>
    <w:tmpl w:val="8C725630"/>
    <w:lvl w:ilvl="0" w:tplc="D1704456">
      <w:start w:val="1"/>
      <w:numFmt w:val="decimal"/>
      <w:pStyle w:val="JudulGambar"/>
      <w:lvlText w:val="Gambar %1."/>
      <w:lvlJc w:val="center"/>
      <w:pPr>
        <w:ind w:left="360"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831F16"/>
    <w:multiLevelType w:val="hybridMultilevel"/>
    <w:tmpl w:val="BF105526"/>
    <w:lvl w:ilvl="0" w:tplc="3DD80AC6">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5"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abstractNum w:abstractNumId="16" w15:restartNumberingAfterBreak="0">
    <w:nsid w:val="7CEE16B7"/>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2740097">
    <w:abstractNumId w:val="13"/>
  </w:num>
  <w:num w:numId="2" w16cid:durableId="2028091042">
    <w:abstractNumId w:val="9"/>
  </w:num>
  <w:num w:numId="3" w16cid:durableId="330301592">
    <w:abstractNumId w:val="15"/>
  </w:num>
  <w:num w:numId="4" w16cid:durableId="1310400728">
    <w:abstractNumId w:val="8"/>
  </w:num>
  <w:num w:numId="5" w16cid:durableId="1212157869">
    <w:abstractNumId w:val="6"/>
  </w:num>
  <w:num w:numId="6" w16cid:durableId="239096215">
    <w:abstractNumId w:val="4"/>
  </w:num>
  <w:num w:numId="7" w16cid:durableId="407505556">
    <w:abstractNumId w:val="7"/>
  </w:num>
  <w:num w:numId="8" w16cid:durableId="1630940751">
    <w:abstractNumId w:val="10"/>
  </w:num>
  <w:num w:numId="9" w16cid:durableId="418675690">
    <w:abstractNumId w:val="16"/>
  </w:num>
  <w:num w:numId="10" w16cid:durableId="1686786108">
    <w:abstractNumId w:val="1"/>
  </w:num>
  <w:num w:numId="11" w16cid:durableId="11928192">
    <w:abstractNumId w:val="2"/>
  </w:num>
  <w:num w:numId="12" w16cid:durableId="317879625">
    <w:abstractNumId w:val="12"/>
  </w:num>
  <w:num w:numId="13" w16cid:durableId="456023064">
    <w:abstractNumId w:val="11"/>
  </w:num>
  <w:num w:numId="14" w16cid:durableId="2083870457">
    <w:abstractNumId w:val="5"/>
  </w:num>
  <w:num w:numId="15" w16cid:durableId="2074770280">
    <w:abstractNumId w:val="0"/>
  </w:num>
  <w:num w:numId="16" w16cid:durableId="798450765">
    <w:abstractNumId w:val="14"/>
  </w:num>
  <w:num w:numId="17" w16cid:durableId="1392653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AB"/>
    <w:rsid w:val="00011E62"/>
    <w:rsid w:val="000126D6"/>
    <w:rsid w:val="00014A60"/>
    <w:rsid w:val="0002333E"/>
    <w:rsid w:val="00024392"/>
    <w:rsid w:val="00035079"/>
    <w:rsid w:val="00040752"/>
    <w:rsid w:val="00041899"/>
    <w:rsid w:val="00071277"/>
    <w:rsid w:val="00094069"/>
    <w:rsid w:val="000A3320"/>
    <w:rsid w:val="000B1CD6"/>
    <w:rsid w:val="000B5A81"/>
    <w:rsid w:val="000C77B4"/>
    <w:rsid w:val="000D0C1E"/>
    <w:rsid w:val="000E37C7"/>
    <w:rsid w:val="000E551C"/>
    <w:rsid w:val="00102594"/>
    <w:rsid w:val="0013517C"/>
    <w:rsid w:val="001726DE"/>
    <w:rsid w:val="00192364"/>
    <w:rsid w:val="00195E3E"/>
    <w:rsid w:val="001C1C3C"/>
    <w:rsid w:val="001D0EFB"/>
    <w:rsid w:val="001E1C48"/>
    <w:rsid w:val="001F67D4"/>
    <w:rsid w:val="0020378A"/>
    <w:rsid w:val="002122B8"/>
    <w:rsid w:val="00215BF8"/>
    <w:rsid w:val="002370C8"/>
    <w:rsid w:val="00246487"/>
    <w:rsid w:val="00267802"/>
    <w:rsid w:val="00293E49"/>
    <w:rsid w:val="002B49CE"/>
    <w:rsid w:val="002B4D19"/>
    <w:rsid w:val="002C66F9"/>
    <w:rsid w:val="002D06DD"/>
    <w:rsid w:val="00367299"/>
    <w:rsid w:val="00375F41"/>
    <w:rsid w:val="00385378"/>
    <w:rsid w:val="0038583D"/>
    <w:rsid w:val="003C38E1"/>
    <w:rsid w:val="003C3AE7"/>
    <w:rsid w:val="00407ABC"/>
    <w:rsid w:val="00416F96"/>
    <w:rsid w:val="00437AC7"/>
    <w:rsid w:val="00442696"/>
    <w:rsid w:val="00445319"/>
    <w:rsid w:val="00455014"/>
    <w:rsid w:val="004D0874"/>
    <w:rsid w:val="004D57C9"/>
    <w:rsid w:val="004E33F7"/>
    <w:rsid w:val="004E77E6"/>
    <w:rsid w:val="004F03D9"/>
    <w:rsid w:val="004F2CC4"/>
    <w:rsid w:val="00510AEA"/>
    <w:rsid w:val="005175C0"/>
    <w:rsid w:val="005361E2"/>
    <w:rsid w:val="0056554A"/>
    <w:rsid w:val="00567F44"/>
    <w:rsid w:val="005A38CD"/>
    <w:rsid w:val="005B1247"/>
    <w:rsid w:val="005C418F"/>
    <w:rsid w:val="005F12BE"/>
    <w:rsid w:val="005F1FA8"/>
    <w:rsid w:val="005F3E6A"/>
    <w:rsid w:val="00602DBE"/>
    <w:rsid w:val="00611556"/>
    <w:rsid w:val="00627C5B"/>
    <w:rsid w:val="006F1BAB"/>
    <w:rsid w:val="00727DC9"/>
    <w:rsid w:val="00731701"/>
    <w:rsid w:val="00740104"/>
    <w:rsid w:val="007465A2"/>
    <w:rsid w:val="007545A7"/>
    <w:rsid w:val="00774416"/>
    <w:rsid w:val="007A05D4"/>
    <w:rsid w:val="00815D6E"/>
    <w:rsid w:val="00824D08"/>
    <w:rsid w:val="008408E2"/>
    <w:rsid w:val="008670D1"/>
    <w:rsid w:val="008A278A"/>
    <w:rsid w:val="008B1774"/>
    <w:rsid w:val="008B50FC"/>
    <w:rsid w:val="008C0555"/>
    <w:rsid w:val="008C568D"/>
    <w:rsid w:val="0092691C"/>
    <w:rsid w:val="00952DD3"/>
    <w:rsid w:val="00956219"/>
    <w:rsid w:val="00970C60"/>
    <w:rsid w:val="009935CE"/>
    <w:rsid w:val="009A2C89"/>
    <w:rsid w:val="009B4697"/>
    <w:rsid w:val="009D078C"/>
    <w:rsid w:val="00A04443"/>
    <w:rsid w:val="00A119EF"/>
    <w:rsid w:val="00A40F77"/>
    <w:rsid w:val="00A57DE9"/>
    <w:rsid w:val="00A95EEA"/>
    <w:rsid w:val="00AD37EF"/>
    <w:rsid w:val="00AD49CC"/>
    <w:rsid w:val="00AF755B"/>
    <w:rsid w:val="00B4191B"/>
    <w:rsid w:val="00B431C5"/>
    <w:rsid w:val="00B4509D"/>
    <w:rsid w:val="00B50122"/>
    <w:rsid w:val="00B6171F"/>
    <w:rsid w:val="00B71B98"/>
    <w:rsid w:val="00B73E0B"/>
    <w:rsid w:val="00BC21AC"/>
    <w:rsid w:val="00BE38AB"/>
    <w:rsid w:val="00BE4BF5"/>
    <w:rsid w:val="00BF2DCE"/>
    <w:rsid w:val="00C22D00"/>
    <w:rsid w:val="00C55B05"/>
    <w:rsid w:val="00C6513E"/>
    <w:rsid w:val="00C65E4D"/>
    <w:rsid w:val="00C72055"/>
    <w:rsid w:val="00C74DCB"/>
    <w:rsid w:val="00C8287F"/>
    <w:rsid w:val="00CB4B4F"/>
    <w:rsid w:val="00CC0931"/>
    <w:rsid w:val="00CC2BC2"/>
    <w:rsid w:val="00CE5C0A"/>
    <w:rsid w:val="00CE7BAD"/>
    <w:rsid w:val="00CF51B9"/>
    <w:rsid w:val="00D55130"/>
    <w:rsid w:val="00D56FDA"/>
    <w:rsid w:val="00D60703"/>
    <w:rsid w:val="00D72A48"/>
    <w:rsid w:val="00D97016"/>
    <w:rsid w:val="00DA1BFB"/>
    <w:rsid w:val="00DA48EF"/>
    <w:rsid w:val="00DC3028"/>
    <w:rsid w:val="00DC5F36"/>
    <w:rsid w:val="00DE62BF"/>
    <w:rsid w:val="00DF01D7"/>
    <w:rsid w:val="00DF39BB"/>
    <w:rsid w:val="00E058C3"/>
    <w:rsid w:val="00E254E9"/>
    <w:rsid w:val="00E36348"/>
    <w:rsid w:val="00E43552"/>
    <w:rsid w:val="00E56338"/>
    <w:rsid w:val="00E61B6C"/>
    <w:rsid w:val="00E80E1B"/>
    <w:rsid w:val="00E81284"/>
    <w:rsid w:val="00EA638B"/>
    <w:rsid w:val="00EB1363"/>
    <w:rsid w:val="00EC3A6D"/>
    <w:rsid w:val="00EC4140"/>
    <w:rsid w:val="00EE4936"/>
    <w:rsid w:val="00EE58B2"/>
    <w:rsid w:val="00EF4C6A"/>
    <w:rsid w:val="00F22C6E"/>
    <w:rsid w:val="00F955AF"/>
    <w:rsid w:val="00FA0244"/>
    <w:rsid w:val="00FA20CB"/>
    <w:rsid w:val="00FA5A7B"/>
    <w:rsid w:val="00FB6D96"/>
    <w:rsid w:val="00FC30E7"/>
    <w:rsid w:val="00FC3373"/>
    <w:rsid w:val="00FE41EF"/>
    <w:rsid w:val="00FF48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4D645"/>
  <w15:chartTrackingRefBased/>
  <w15:docId w15:val="{11984172-4EDD-468F-B938-350B31B5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731701"/>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731701"/>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731701"/>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731701"/>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31701"/>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731701"/>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731701"/>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731701"/>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2C66F9"/>
    <w:pPr>
      <w:tabs>
        <w:tab w:val="left" w:pos="288"/>
      </w:tabs>
      <w:ind w:left="274" w:right="180" w:firstLine="403"/>
      <w:jc w:val="both"/>
    </w:pPr>
    <w:rPr>
      <w:color w:val="000000"/>
      <w:spacing w:val="-1"/>
      <w:sz w:val="22"/>
      <w:szCs w:val="22"/>
      <w:shd w:val="clear" w:color="auto" w:fill="FFFFFF"/>
      <w:lang w:val="fi-FI" w:eastAsia="id-ID"/>
    </w:rPr>
  </w:style>
  <w:style w:type="character" w:customStyle="1" w:styleId="BodyTextChar">
    <w:name w:val="Body Text Char"/>
    <w:aliases w:val="Teks Utama Char"/>
    <w:basedOn w:val="DefaultParagraphFont"/>
    <w:link w:val="BodyText"/>
    <w:uiPriority w:val="99"/>
    <w:rsid w:val="002C66F9"/>
    <w:rPr>
      <w:rFonts w:ascii="Times New Roman" w:eastAsia="Times New Roman" w:hAnsi="Times New Roman" w:cs="Times New Roman"/>
      <w:color w:val="000000"/>
      <w:spacing w:val="-1"/>
      <w:kern w:val="0"/>
      <w:lang w:val="fi-FI" w:eastAsia="id-ID"/>
      <w14:ligatures w14:val="none"/>
    </w:rPr>
  </w:style>
  <w:style w:type="paragraph" w:customStyle="1" w:styleId="JudulGambar">
    <w:name w:val="Judul Gambar"/>
    <w:qFormat/>
    <w:rsid w:val="00731701"/>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731701"/>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731701"/>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731701"/>
  </w:style>
  <w:style w:type="paragraph" w:customStyle="1" w:styleId="JudulTabel">
    <w:name w:val="Judul Tabel"/>
    <w:uiPriority w:val="99"/>
    <w:qFormat/>
    <w:rsid w:val="00731701"/>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731701"/>
    <w:rPr>
      <w:color w:val="0563C1"/>
      <w:u w:val="single"/>
    </w:rPr>
  </w:style>
  <w:style w:type="paragraph" w:styleId="NoSpacing">
    <w:name w:val="No Spacing"/>
    <w:uiPriority w:val="1"/>
    <w:qFormat/>
    <w:rsid w:val="00731701"/>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731701"/>
    <w:pPr>
      <w:tabs>
        <w:tab w:val="center" w:pos="4680"/>
        <w:tab w:val="right" w:pos="9360"/>
      </w:tabs>
    </w:pPr>
  </w:style>
  <w:style w:type="character" w:customStyle="1" w:styleId="HeaderChar">
    <w:name w:val="Header Char"/>
    <w:basedOn w:val="DefaultParagraphFont"/>
    <w:link w:val="Header"/>
    <w:uiPriority w:val="99"/>
    <w:rsid w:val="00731701"/>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731701"/>
    <w:pPr>
      <w:tabs>
        <w:tab w:val="center" w:pos="4680"/>
        <w:tab w:val="right" w:pos="9360"/>
      </w:tabs>
    </w:pPr>
  </w:style>
  <w:style w:type="character" w:customStyle="1" w:styleId="FooterChar">
    <w:name w:val="Footer Char"/>
    <w:basedOn w:val="DefaultParagraphFont"/>
    <w:link w:val="Footer"/>
    <w:uiPriority w:val="99"/>
    <w:rsid w:val="00731701"/>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731701"/>
    <w:rPr>
      <w:i/>
      <w:iCs/>
    </w:rPr>
  </w:style>
  <w:style w:type="paragraph" w:customStyle="1" w:styleId="Reference">
    <w:name w:val="Reference"/>
    <w:basedOn w:val="BodyText"/>
    <w:link w:val="ReferenceChar"/>
    <w:qFormat/>
    <w:rsid w:val="00731701"/>
    <w:pPr>
      <w:spacing w:after="120"/>
    </w:pPr>
    <w:rPr>
      <w:sz w:val="20"/>
      <w:szCs w:val="20"/>
    </w:rPr>
  </w:style>
  <w:style w:type="character" w:customStyle="1" w:styleId="ReferenceChar">
    <w:name w:val="Reference Char"/>
    <w:basedOn w:val="BodyTextChar"/>
    <w:link w:val="Reference"/>
    <w:rsid w:val="00731701"/>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731701"/>
    <w:pPr>
      <w:tabs>
        <w:tab w:val="clear" w:pos="288"/>
      </w:tabs>
      <w:ind w:left="630"/>
    </w:pPr>
    <w:rPr>
      <w:lang w:val="id-ID"/>
    </w:rPr>
  </w:style>
  <w:style w:type="character" w:customStyle="1" w:styleId="TeksSub-BabChar">
    <w:name w:val="Teks Sub-Bab Char"/>
    <w:basedOn w:val="BodyTextChar"/>
    <w:link w:val="TeksSub-Bab"/>
    <w:rsid w:val="00731701"/>
    <w:rPr>
      <w:rFonts w:ascii="Times New Roman" w:eastAsia="Times New Roman" w:hAnsi="Times New Roman" w:cs="Times New Roman"/>
      <w:color w:val="000000"/>
      <w:spacing w:val="-1"/>
      <w:kern w:val="0"/>
      <w:lang w:val="id-ID" w:eastAsia="id-ID"/>
      <w14:ligatures w14:val="none"/>
    </w:rPr>
  </w:style>
  <w:style w:type="table" w:styleId="TableGrid">
    <w:name w:val="Table Grid"/>
    <w:basedOn w:val="TableNormal"/>
    <w:uiPriority w:val="39"/>
    <w:rsid w:val="005F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3028"/>
    <w:rPr>
      <w:color w:val="605E5C"/>
      <w:shd w:val="clear" w:color="auto" w:fill="E1DFDD"/>
    </w:rPr>
  </w:style>
  <w:style w:type="paragraph" w:styleId="ListParagraph">
    <w:name w:val="List Paragraph"/>
    <w:basedOn w:val="Normal"/>
    <w:uiPriority w:val="34"/>
    <w:qFormat/>
    <w:rsid w:val="00A57DE9"/>
    <w:pPr>
      <w:ind w:left="720"/>
      <w:contextualSpacing/>
      <w:jc w:val="both"/>
    </w:pPr>
    <w:rPr>
      <w:rFonts w:eastAsiaTheme="minorHAnsi" w:cstheme="minorBidi"/>
      <w:kern w:val="2"/>
      <w:sz w:val="22"/>
      <w:szCs w:val="24"/>
      <w:lang w:val="en-ID"/>
      <w14:ligatures w14:val="standardContextual"/>
    </w:rPr>
  </w:style>
  <w:style w:type="paragraph" w:styleId="Caption">
    <w:name w:val="caption"/>
    <w:basedOn w:val="Normal"/>
    <w:next w:val="Normal"/>
    <w:uiPriority w:val="35"/>
    <w:unhideWhenUsed/>
    <w:qFormat/>
    <w:rsid w:val="00A57DE9"/>
    <w:pPr>
      <w:spacing w:after="200"/>
      <w:jc w:val="both"/>
    </w:pPr>
    <w:rPr>
      <w:rFonts w:eastAsiaTheme="minorHAnsi" w:cstheme="minorBidi"/>
      <w:iCs/>
      <w:color w:val="000000" w:themeColor="text1"/>
      <w:kern w:val="2"/>
      <w:sz w:val="22"/>
      <w:szCs w:val="18"/>
      <w:lang w:val="en-ID"/>
      <w14:ligatures w14:val="standardContextual"/>
    </w:rPr>
  </w:style>
  <w:style w:type="character" w:styleId="PageNumber">
    <w:name w:val="page number"/>
    <w:basedOn w:val="DefaultParagraphFont"/>
    <w:uiPriority w:val="99"/>
    <w:semiHidden/>
    <w:unhideWhenUsed/>
    <w:rsid w:val="00CF51B9"/>
  </w:style>
  <w:style w:type="paragraph" w:customStyle="1" w:styleId="ParagrafIsi">
    <w:name w:val="Paragraf Isi"/>
    <w:basedOn w:val="Normal"/>
    <w:link w:val="ParagrafIsiChar"/>
    <w:qFormat/>
    <w:rsid w:val="00D60703"/>
    <w:pPr>
      <w:ind w:firstLine="284"/>
      <w:jc w:val="both"/>
    </w:pPr>
    <w:rPr>
      <w:lang w:eastAsia="en-ID"/>
    </w:rPr>
  </w:style>
  <w:style w:type="character" w:customStyle="1" w:styleId="ParagrafIsiChar">
    <w:name w:val="Paragraf Isi Char"/>
    <w:basedOn w:val="DefaultParagraphFont"/>
    <w:link w:val="ParagrafIsi"/>
    <w:rsid w:val="00D60703"/>
    <w:rPr>
      <w:rFonts w:ascii="Times New Roman" w:eastAsia="Times New Roman" w:hAnsi="Times New Roman" w:cs="Times New Roman"/>
      <w:kern w:val="0"/>
      <w:sz w:val="20"/>
      <w:szCs w:val="20"/>
      <w:lang w:val="en-US" w:eastAsia="en-ID"/>
      <w14:ligatures w14:val="none"/>
    </w:rPr>
  </w:style>
  <w:style w:type="paragraph" w:customStyle="1" w:styleId="Persamaan">
    <w:name w:val="Persamaan"/>
    <w:basedOn w:val="Normal"/>
    <w:link w:val="PersamaanChar"/>
    <w:qFormat/>
    <w:rsid w:val="00E43552"/>
    <w:pPr>
      <w:tabs>
        <w:tab w:val="center" w:pos="4678"/>
        <w:tab w:val="right" w:pos="9355"/>
      </w:tabs>
      <w:spacing w:before="120" w:after="120"/>
      <w:jc w:val="left"/>
    </w:pPr>
    <w:rPr>
      <w:iCs/>
      <w:szCs w:val="18"/>
      <w:lang w:eastAsia="en-ID"/>
    </w:rPr>
  </w:style>
  <w:style w:type="character" w:customStyle="1" w:styleId="PersamaanChar">
    <w:name w:val="Persamaan Char"/>
    <w:basedOn w:val="DefaultParagraphFont"/>
    <w:link w:val="Persamaan"/>
    <w:rsid w:val="00E43552"/>
    <w:rPr>
      <w:rFonts w:ascii="Times New Roman" w:eastAsia="Times New Roman" w:hAnsi="Times New Roman" w:cs="Times New Roman"/>
      <w:iCs/>
      <w:kern w:val="0"/>
      <w:sz w:val="20"/>
      <w:szCs w:val="18"/>
      <w:lang w:val="en-US"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57320">
      <w:bodyDiv w:val="1"/>
      <w:marLeft w:val="0"/>
      <w:marRight w:val="0"/>
      <w:marTop w:val="0"/>
      <w:marBottom w:val="0"/>
      <w:divBdr>
        <w:top w:val="none" w:sz="0" w:space="0" w:color="auto"/>
        <w:left w:val="none" w:sz="0" w:space="0" w:color="auto"/>
        <w:bottom w:val="none" w:sz="0" w:space="0" w:color="auto"/>
        <w:right w:val="none" w:sz="0" w:space="0" w:color="auto"/>
      </w:divBdr>
    </w:div>
    <w:div w:id="227229739">
      <w:bodyDiv w:val="1"/>
      <w:marLeft w:val="0"/>
      <w:marRight w:val="0"/>
      <w:marTop w:val="0"/>
      <w:marBottom w:val="0"/>
      <w:divBdr>
        <w:top w:val="none" w:sz="0" w:space="0" w:color="auto"/>
        <w:left w:val="none" w:sz="0" w:space="0" w:color="auto"/>
        <w:bottom w:val="none" w:sz="0" w:space="0" w:color="auto"/>
        <w:right w:val="none" w:sz="0" w:space="0" w:color="auto"/>
      </w:divBdr>
    </w:div>
    <w:div w:id="31654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3.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scitotenv.2004.09.002" TargetMode="External"/><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Sheet1!$J$12</c:f>
              <c:strCache>
                <c:ptCount val="1"/>
                <c:pt idx="0">
                  <c:v>V1</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Sheet1!$K$11:$P$11</c:f>
              <c:numCache>
                <c:formatCode>General</c:formatCode>
                <c:ptCount val="6"/>
                <c:pt idx="0">
                  <c:v>0</c:v>
                </c:pt>
                <c:pt idx="1">
                  <c:v>5</c:v>
                </c:pt>
                <c:pt idx="2">
                  <c:v>15</c:v>
                </c:pt>
                <c:pt idx="3">
                  <c:v>30</c:v>
                </c:pt>
                <c:pt idx="4">
                  <c:v>60</c:v>
                </c:pt>
                <c:pt idx="5">
                  <c:v>90</c:v>
                </c:pt>
              </c:numCache>
            </c:numRef>
          </c:xVal>
          <c:yVal>
            <c:numRef>
              <c:f>Sheet1!$K$12:$P$12</c:f>
              <c:numCache>
                <c:formatCode>General</c:formatCode>
                <c:ptCount val="6"/>
                <c:pt idx="0">
                  <c:v>2.6</c:v>
                </c:pt>
                <c:pt idx="1">
                  <c:v>2.68</c:v>
                </c:pt>
                <c:pt idx="2">
                  <c:v>3.5</c:v>
                </c:pt>
                <c:pt idx="3">
                  <c:v>3.65</c:v>
                </c:pt>
                <c:pt idx="4">
                  <c:v>3.72</c:v>
                </c:pt>
                <c:pt idx="5">
                  <c:v>3.81</c:v>
                </c:pt>
              </c:numCache>
            </c:numRef>
          </c:yVal>
          <c:smooth val="1"/>
          <c:extLst>
            <c:ext xmlns:c16="http://schemas.microsoft.com/office/drawing/2014/chart" uri="{C3380CC4-5D6E-409C-BE32-E72D297353CC}">
              <c16:uniqueId val="{00000000-87CF-4740-9533-711A36E3FA93}"/>
            </c:ext>
          </c:extLst>
        </c:ser>
        <c:ser>
          <c:idx val="1"/>
          <c:order val="1"/>
          <c:tx>
            <c:strRef>
              <c:f>Sheet1!$J$13</c:f>
              <c:strCache>
                <c:ptCount val="1"/>
                <c:pt idx="0">
                  <c:v>V2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Sheet1!$K$11:$P$11</c:f>
              <c:numCache>
                <c:formatCode>General</c:formatCode>
                <c:ptCount val="6"/>
                <c:pt idx="0">
                  <c:v>0</c:v>
                </c:pt>
                <c:pt idx="1">
                  <c:v>5</c:v>
                </c:pt>
                <c:pt idx="2">
                  <c:v>15</c:v>
                </c:pt>
                <c:pt idx="3">
                  <c:v>30</c:v>
                </c:pt>
                <c:pt idx="4">
                  <c:v>60</c:v>
                </c:pt>
                <c:pt idx="5">
                  <c:v>90</c:v>
                </c:pt>
              </c:numCache>
            </c:numRef>
          </c:xVal>
          <c:yVal>
            <c:numRef>
              <c:f>Sheet1!$K$13:$P$13</c:f>
              <c:numCache>
                <c:formatCode>General</c:formatCode>
                <c:ptCount val="6"/>
                <c:pt idx="0">
                  <c:v>2.6</c:v>
                </c:pt>
                <c:pt idx="1">
                  <c:v>2.7</c:v>
                </c:pt>
                <c:pt idx="2">
                  <c:v>3.53</c:v>
                </c:pt>
                <c:pt idx="3">
                  <c:v>3.88</c:v>
                </c:pt>
                <c:pt idx="4">
                  <c:v>4.2</c:v>
                </c:pt>
                <c:pt idx="5">
                  <c:v>5.6</c:v>
                </c:pt>
              </c:numCache>
            </c:numRef>
          </c:yVal>
          <c:smooth val="1"/>
          <c:extLst>
            <c:ext xmlns:c16="http://schemas.microsoft.com/office/drawing/2014/chart" uri="{C3380CC4-5D6E-409C-BE32-E72D297353CC}">
              <c16:uniqueId val="{00000001-87CF-4740-9533-711A36E3FA93}"/>
            </c:ext>
          </c:extLst>
        </c:ser>
        <c:ser>
          <c:idx val="2"/>
          <c:order val="2"/>
          <c:tx>
            <c:strRef>
              <c:f>Sheet1!$J$14</c:f>
              <c:strCache>
                <c:ptCount val="1"/>
                <c:pt idx="0">
                  <c:v>V3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Sheet1!$K$11:$P$11</c:f>
              <c:numCache>
                <c:formatCode>General</c:formatCode>
                <c:ptCount val="6"/>
                <c:pt idx="0">
                  <c:v>0</c:v>
                </c:pt>
                <c:pt idx="1">
                  <c:v>5</c:v>
                </c:pt>
                <c:pt idx="2">
                  <c:v>15</c:v>
                </c:pt>
                <c:pt idx="3">
                  <c:v>30</c:v>
                </c:pt>
                <c:pt idx="4">
                  <c:v>60</c:v>
                </c:pt>
                <c:pt idx="5">
                  <c:v>90</c:v>
                </c:pt>
              </c:numCache>
            </c:numRef>
          </c:xVal>
          <c:yVal>
            <c:numRef>
              <c:f>Sheet1!$K$14:$P$14</c:f>
              <c:numCache>
                <c:formatCode>General</c:formatCode>
                <c:ptCount val="6"/>
                <c:pt idx="0">
                  <c:v>2.6</c:v>
                </c:pt>
                <c:pt idx="1">
                  <c:v>2.72</c:v>
                </c:pt>
                <c:pt idx="2">
                  <c:v>3.58</c:v>
                </c:pt>
                <c:pt idx="3">
                  <c:v>5</c:v>
                </c:pt>
                <c:pt idx="4">
                  <c:v>7.2</c:v>
                </c:pt>
                <c:pt idx="5">
                  <c:v>7.26</c:v>
                </c:pt>
              </c:numCache>
            </c:numRef>
          </c:yVal>
          <c:smooth val="1"/>
          <c:extLst>
            <c:ext xmlns:c16="http://schemas.microsoft.com/office/drawing/2014/chart" uri="{C3380CC4-5D6E-409C-BE32-E72D297353CC}">
              <c16:uniqueId val="{00000002-87CF-4740-9533-711A36E3FA93}"/>
            </c:ext>
          </c:extLst>
        </c:ser>
        <c:ser>
          <c:idx val="3"/>
          <c:order val="3"/>
          <c:tx>
            <c:strRef>
              <c:f>Sheet1!$J$15</c:f>
              <c:strCache>
                <c:ptCount val="1"/>
                <c:pt idx="0">
                  <c:v>V4</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Sheet1!$K$11:$P$11</c:f>
              <c:numCache>
                <c:formatCode>General</c:formatCode>
                <c:ptCount val="6"/>
                <c:pt idx="0">
                  <c:v>0</c:v>
                </c:pt>
                <c:pt idx="1">
                  <c:v>5</c:v>
                </c:pt>
                <c:pt idx="2">
                  <c:v>15</c:v>
                </c:pt>
                <c:pt idx="3">
                  <c:v>30</c:v>
                </c:pt>
                <c:pt idx="4">
                  <c:v>60</c:v>
                </c:pt>
                <c:pt idx="5">
                  <c:v>90</c:v>
                </c:pt>
              </c:numCache>
            </c:numRef>
          </c:xVal>
          <c:yVal>
            <c:numRef>
              <c:f>Sheet1!$K$15:$P$15</c:f>
              <c:numCache>
                <c:formatCode>General</c:formatCode>
                <c:ptCount val="6"/>
                <c:pt idx="0">
                  <c:v>2.6</c:v>
                </c:pt>
                <c:pt idx="1">
                  <c:v>2.89</c:v>
                </c:pt>
                <c:pt idx="2">
                  <c:v>4.3</c:v>
                </c:pt>
                <c:pt idx="3">
                  <c:v>6.8</c:v>
                </c:pt>
                <c:pt idx="4">
                  <c:v>8.02</c:v>
                </c:pt>
                <c:pt idx="5">
                  <c:v>8.02</c:v>
                </c:pt>
              </c:numCache>
            </c:numRef>
          </c:yVal>
          <c:smooth val="1"/>
          <c:extLst>
            <c:ext xmlns:c16="http://schemas.microsoft.com/office/drawing/2014/chart" uri="{C3380CC4-5D6E-409C-BE32-E72D297353CC}">
              <c16:uniqueId val="{00000003-87CF-4740-9533-711A36E3FA93}"/>
            </c:ext>
          </c:extLst>
        </c:ser>
        <c:ser>
          <c:idx val="4"/>
          <c:order val="4"/>
          <c:tx>
            <c:strRef>
              <c:f>Sheet1!$J$16</c:f>
              <c:strCache>
                <c:ptCount val="1"/>
                <c:pt idx="0">
                  <c:v>V5</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Sheet1!$K$11:$P$11</c:f>
              <c:numCache>
                <c:formatCode>General</c:formatCode>
                <c:ptCount val="6"/>
                <c:pt idx="0">
                  <c:v>0</c:v>
                </c:pt>
                <c:pt idx="1">
                  <c:v>5</c:v>
                </c:pt>
                <c:pt idx="2">
                  <c:v>15</c:v>
                </c:pt>
                <c:pt idx="3">
                  <c:v>30</c:v>
                </c:pt>
                <c:pt idx="4">
                  <c:v>60</c:v>
                </c:pt>
                <c:pt idx="5">
                  <c:v>90</c:v>
                </c:pt>
              </c:numCache>
            </c:numRef>
          </c:xVal>
          <c:yVal>
            <c:numRef>
              <c:f>Sheet1!$K$16:$P$16</c:f>
              <c:numCache>
                <c:formatCode>General</c:formatCode>
                <c:ptCount val="6"/>
                <c:pt idx="0">
                  <c:v>2.6</c:v>
                </c:pt>
                <c:pt idx="1">
                  <c:v>3.02</c:v>
                </c:pt>
                <c:pt idx="2">
                  <c:v>4.5</c:v>
                </c:pt>
                <c:pt idx="3">
                  <c:v>7.3</c:v>
                </c:pt>
                <c:pt idx="4">
                  <c:v>7.6</c:v>
                </c:pt>
                <c:pt idx="5">
                  <c:v>7.6</c:v>
                </c:pt>
              </c:numCache>
            </c:numRef>
          </c:yVal>
          <c:smooth val="1"/>
          <c:extLst>
            <c:ext xmlns:c16="http://schemas.microsoft.com/office/drawing/2014/chart" uri="{C3380CC4-5D6E-409C-BE32-E72D297353CC}">
              <c16:uniqueId val="{00000004-87CF-4740-9533-711A36E3FA93}"/>
            </c:ext>
          </c:extLst>
        </c:ser>
        <c:dLbls>
          <c:dLblPos val="t"/>
          <c:showLegendKey val="0"/>
          <c:showVal val="1"/>
          <c:showCatName val="0"/>
          <c:showSerName val="0"/>
          <c:showPercent val="0"/>
          <c:showBubbleSize val="0"/>
        </c:dLbls>
        <c:axId val="1138526207"/>
        <c:axId val="1138514207"/>
      </c:scatterChart>
      <c:valAx>
        <c:axId val="11385262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ID" b="1"/>
                  <a:t>Mixing Time (Minutes)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138514207"/>
        <c:crosses val="autoZero"/>
        <c:crossBetween val="midCat"/>
        <c:majorUnit val="10"/>
      </c:valAx>
      <c:valAx>
        <c:axId val="11385142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ID" b="1"/>
                  <a:t>Solution pH (pH)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13852620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B324E-E179-1845-AE16-A28ADA01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3368</Words>
  <Characters>19203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Template Artikel</vt:lpstr>
    </vt:vector>
  </TitlesOfParts>
  <Company/>
  <LinksUpToDate>false</LinksUpToDate>
  <CharactersWithSpaces>22526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dc:title>
  <dc:subject>RETROTEKIN</dc:subject>
  <dc:creator>Putri Nopianti</dc:creator>
  <cp:keywords>Journal; Articles</cp:keywords>
  <dc:description/>
  <cp:lastModifiedBy>Karim Kasmudin</cp:lastModifiedBy>
  <cp:revision>2</cp:revision>
  <dcterms:created xsi:type="dcterms:W3CDTF">2025-10-06T03:14:00Z</dcterms:created>
  <dcterms:modified xsi:type="dcterms:W3CDTF">2025-10-06T03:14:00Z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3ba8f6655abed95da5cc9bb2d8019736ec3194a315301a65e29143e268dffa18</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0081132a-a2ef-36ec-a690-77ab460a6508</vt:lpwstr>
  </property>
  <property fmtid="{D5CDD505-2E9C-101B-9397-08002B2CF9AE}" pid="25" name="Mendeley Citation Style_1">
    <vt:lpwstr>http://www.zotero.org/styles/apa</vt:lpwstr>
  </property>
</Properties>
</file>